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F20A0C" w14:textId="5ACE28FE" w:rsidR="003F2EEF" w:rsidRPr="00237AA8" w:rsidRDefault="006F1B16" w:rsidP="00ED2582">
      <w:pPr>
        <w:tabs>
          <w:tab w:val="left" w:pos="1134"/>
        </w:tabs>
        <w:spacing w:line="312" w:lineRule="auto"/>
        <w:jc w:val="center"/>
        <w:rPr>
          <w:rFonts w:asciiTheme="majorHAnsi" w:hAnsiTheme="majorHAnsi" w:cstheme="majorHAnsi"/>
          <w:sz w:val="22"/>
          <w:szCs w:val="22"/>
        </w:rPr>
      </w:pPr>
      <w:r w:rsidRPr="00237AA8">
        <w:rPr>
          <w:rFonts w:asciiTheme="majorHAnsi" w:hAnsiTheme="majorHAnsi" w:cstheme="majorHAnsi"/>
          <w:b/>
          <w:iCs/>
          <w:color w:val="000000" w:themeColor="text1"/>
          <w:sz w:val="22"/>
          <w:szCs w:val="22"/>
        </w:rPr>
        <w:t xml:space="preserve">PREGÃO ELETRÔNICO (SRP) </w:t>
      </w:r>
      <w:r w:rsidRPr="00237AA8">
        <w:rPr>
          <w:rFonts w:asciiTheme="majorHAnsi" w:hAnsiTheme="majorHAnsi" w:cstheme="majorHAnsi"/>
          <w:b/>
          <w:iCs/>
          <w:color w:val="auto"/>
          <w:sz w:val="22"/>
          <w:szCs w:val="22"/>
        </w:rPr>
        <w:t xml:space="preserve">Nº </w:t>
      </w:r>
      <w:r w:rsidR="00C7589D" w:rsidRPr="00237AA8">
        <w:rPr>
          <w:rFonts w:asciiTheme="majorHAnsi" w:hAnsiTheme="majorHAnsi" w:cstheme="majorHAnsi"/>
          <w:b/>
          <w:iCs/>
          <w:color w:val="auto"/>
          <w:sz w:val="22"/>
          <w:szCs w:val="22"/>
        </w:rPr>
        <w:t>9001</w:t>
      </w:r>
      <w:r w:rsidR="002936C8">
        <w:rPr>
          <w:rFonts w:asciiTheme="majorHAnsi" w:hAnsiTheme="majorHAnsi" w:cstheme="majorHAnsi"/>
          <w:b/>
          <w:iCs/>
          <w:color w:val="auto"/>
          <w:sz w:val="22"/>
          <w:szCs w:val="22"/>
        </w:rPr>
        <w:t>6</w:t>
      </w:r>
      <w:r w:rsidRPr="00237AA8">
        <w:rPr>
          <w:rFonts w:asciiTheme="majorHAnsi" w:hAnsiTheme="majorHAnsi" w:cstheme="majorHAnsi"/>
          <w:b/>
          <w:iCs/>
          <w:color w:val="000000" w:themeColor="text1"/>
          <w:sz w:val="22"/>
          <w:szCs w:val="22"/>
        </w:rPr>
        <w:t>/2024</w:t>
      </w:r>
      <w:r w:rsidRPr="00237AA8">
        <w:rPr>
          <w:rFonts w:asciiTheme="majorHAnsi" w:hAnsiTheme="majorHAnsi" w:cstheme="majorHAnsi"/>
          <w:color w:val="000000"/>
          <w:sz w:val="22"/>
          <w:szCs w:val="22"/>
        </w:rPr>
        <w:t xml:space="preserve"> – </w:t>
      </w:r>
      <w:r w:rsidRPr="00237AA8">
        <w:rPr>
          <w:rFonts w:asciiTheme="majorHAnsi" w:hAnsiTheme="majorHAnsi" w:cstheme="majorHAnsi"/>
          <w:b/>
          <w:color w:val="000000"/>
          <w:sz w:val="22"/>
          <w:szCs w:val="22"/>
        </w:rPr>
        <w:t>UASG: 160022</w:t>
      </w:r>
    </w:p>
    <w:p w14:paraId="0D7820DD" w14:textId="539CBC12" w:rsidR="003F2EEF" w:rsidRDefault="006F1B16" w:rsidP="00ED2582">
      <w:pPr>
        <w:spacing w:line="312" w:lineRule="auto"/>
        <w:jc w:val="center"/>
        <w:rPr>
          <w:rFonts w:asciiTheme="majorHAnsi" w:hAnsiTheme="majorHAnsi" w:cstheme="majorHAnsi"/>
          <w:bCs/>
          <w:sz w:val="22"/>
          <w:szCs w:val="22"/>
        </w:rPr>
      </w:pPr>
      <w:r w:rsidRPr="00237AA8">
        <w:rPr>
          <w:rFonts w:asciiTheme="majorHAnsi" w:hAnsiTheme="majorHAnsi" w:cstheme="majorHAnsi"/>
          <w:sz w:val="22"/>
          <w:szCs w:val="22"/>
        </w:rPr>
        <w:t xml:space="preserve"> (Processo Administrativo (NUP) n</w:t>
      </w:r>
      <w:r w:rsidRPr="00237AA8">
        <w:rPr>
          <w:rFonts w:asciiTheme="majorHAnsi" w:hAnsiTheme="majorHAnsi" w:cstheme="majorHAnsi"/>
          <w:bCs/>
          <w:sz w:val="22"/>
          <w:szCs w:val="22"/>
        </w:rPr>
        <w:t>°644</w:t>
      </w:r>
      <w:r w:rsidR="00FF2725">
        <w:rPr>
          <w:rFonts w:asciiTheme="majorHAnsi" w:hAnsiTheme="majorHAnsi" w:cstheme="majorHAnsi"/>
          <w:bCs/>
          <w:sz w:val="22"/>
          <w:szCs w:val="22"/>
        </w:rPr>
        <w:t>1</w:t>
      </w:r>
      <w:r w:rsidRPr="00237AA8">
        <w:rPr>
          <w:rFonts w:asciiTheme="majorHAnsi" w:hAnsiTheme="majorHAnsi" w:cstheme="majorHAnsi"/>
          <w:bCs/>
          <w:sz w:val="22"/>
          <w:szCs w:val="22"/>
        </w:rPr>
        <w:t>1.00</w:t>
      </w:r>
      <w:r w:rsidR="002936C8">
        <w:rPr>
          <w:rFonts w:asciiTheme="majorHAnsi" w:hAnsiTheme="majorHAnsi" w:cstheme="majorHAnsi"/>
          <w:bCs/>
          <w:sz w:val="22"/>
          <w:szCs w:val="22"/>
        </w:rPr>
        <w:t>3427</w:t>
      </w:r>
      <w:r w:rsidRPr="00237AA8">
        <w:rPr>
          <w:rFonts w:asciiTheme="majorHAnsi" w:hAnsiTheme="majorHAnsi" w:cstheme="majorHAnsi"/>
          <w:bCs/>
          <w:sz w:val="22"/>
          <w:szCs w:val="22"/>
        </w:rPr>
        <w:t>/2024-</w:t>
      </w:r>
      <w:r w:rsidR="002936C8">
        <w:rPr>
          <w:rFonts w:asciiTheme="majorHAnsi" w:hAnsiTheme="majorHAnsi" w:cstheme="majorHAnsi"/>
          <w:bCs/>
          <w:sz w:val="22"/>
          <w:szCs w:val="22"/>
        </w:rPr>
        <w:t>96</w:t>
      </w:r>
      <w:r w:rsidRPr="00237AA8">
        <w:rPr>
          <w:rFonts w:asciiTheme="majorHAnsi" w:hAnsiTheme="majorHAnsi" w:cstheme="majorHAnsi"/>
          <w:bCs/>
          <w:sz w:val="22"/>
          <w:szCs w:val="22"/>
        </w:rPr>
        <w:t>)</w:t>
      </w:r>
    </w:p>
    <w:p w14:paraId="54918218" w14:textId="77777777" w:rsidR="00237AA8" w:rsidRPr="00237AA8" w:rsidRDefault="00237AA8" w:rsidP="00ED2582">
      <w:pPr>
        <w:spacing w:line="312" w:lineRule="auto"/>
        <w:jc w:val="center"/>
        <w:rPr>
          <w:rFonts w:asciiTheme="majorHAnsi" w:hAnsiTheme="majorHAnsi" w:cstheme="majorHAnsi"/>
          <w:sz w:val="22"/>
          <w:szCs w:val="22"/>
        </w:rPr>
      </w:pPr>
    </w:p>
    <w:p w14:paraId="6D38BB51" w14:textId="77777777" w:rsidR="003F2EEF" w:rsidRPr="00237AA8" w:rsidRDefault="006F1B16" w:rsidP="00ED2582">
      <w:pPr>
        <w:pStyle w:val="Nivel01"/>
        <w:numPr>
          <w:ilvl w:val="0"/>
          <w:numId w:val="2"/>
        </w:numPr>
        <w:tabs>
          <w:tab w:val="clear" w:pos="567"/>
          <w:tab w:val="left" w:pos="284"/>
        </w:tabs>
        <w:spacing w:before="0" w:line="312" w:lineRule="auto"/>
        <w:ind w:left="0" w:firstLine="0"/>
        <w:rPr>
          <w:rFonts w:asciiTheme="majorHAnsi" w:eastAsia="Arial" w:hAnsiTheme="majorHAnsi" w:cstheme="majorHAnsi"/>
          <w:color w:val="000000"/>
          <w:sz w:val="22"/>
          <w:szCs w:val="22"/>
        </w:rPr>
      </w:pPr>
      <w:r w:rsidRPr="00237AA8">
        <w:rPr>
          <w:rFonts w:asciiTheme="majorHAnsi" w:hAnsiTheme="majorHAnsi" w:cstheme="majorHAnsi"/>
          <w:sz w:val="22"/>
          <w:szCs w:val="22"/>
        </w:rPr>
        <w:t>CONDIÇÕES GERAIS DA CONTRATAÇÃO</w:t>
      </w:r>
    </w:p>
    <w:p w14:paraId="34770225" w14:textId="42C8FFFE" w:rsidR="003F2EEF" w:rsidRPr="00EF31E5" w:rsidRDefault="00EF31E5" w:rsidP="00D56FFC">
      <w:pPr>
        <w:pStyle w:val="PargrafodaLista"/>
        <w:numPr>
          <w:ilvl w:val="1"/>
          <w:numId w:val="1"/>
        </w:numPr>
        <w:jc w:val="both"/>
        <w:rPr>
          <w:rFonts w:ascii="Arial" w:hAnsi="Arial" w:cs="Arial"/>
          <w:i/>
          <w:iCs/>
          <w:color w:val="5B5B5F"/>
          <w:sz w:val="28"/>
          <w:szCs w:val="20"/>
        </w:rPr>
      </w:pPr>
      <w:r w:rsidRPr="00D56FFC">
        <w:rPr>
          <w:rFonts w:ascii="Calibri" w:hAnsi="Calibri" w:cs="Calibri"/>
          <w:b/>
          <w:sz w:val="22"/>
          <w:szCs w:val="22"/>
        </w:rPr>
        <w:t>Aquisição de materiais de construção, ferramental, de combate a incêndio e materiais permanentes, por maior desconto, com base na tabela SINAP não desonerado</w:t>
      </w:r>
      <w:r w:rsidR="006F1B16" w:rsidRPr="00EF31E5">
        <w:rPr>
          <w:rFonts w:asciiTheme="majorHAnsi" w:hAnsiTheme="majorHAnsi" w:cstheme="majorHAnsi"/>
          <w:b/>
          <w:bCs/>
          <w:sz w:val="22"/>
          <w:szCs w:val="22"/>
        </w:rPr>
        <w:t>,</w:t>
      </w:r>
      <w:r w:rsidR="006F1B16" w:rsidRPr="00EF31E5">
        <w:rPr>
          <w:rFonts w:asciiTheme="majorHAnsi" w:hAnsiTheme="majorHAnsi" w:cstheme="majorHAnsi"/>
          <w:szCs w:val="22"/>
        </w:rPr>
        <w:t xml:space="preserve"> </w:t>
      </w:r>
      <w:r w:rsidR="006F1B16" w:rsidRPr="00EF31E5">
        <w:rPr>
          <w:rFonts w:asciiTheme="majorHAnsi" w:hAnsiTheme="majorHAnsi" w:cstheme="majorHAnsi"/>
          <w:sz w:val="22"/>
          <w:szCs w:val="22"/>
        </w:rPr>
        <w:t>nos termos da tabela abaixo, conforme condições e exigências estabelecidas neste instrumento.</w:t>
      </w:r>
    </w:p>
    <w:tbl>
      <w:tblPr>
        <w:tblW w:w="10606" w:type="dxa"/>
        <w:jc w:val="center"/>
        <w:tblLayout w:type="fixed"/>
        <w:tblCellMar>
          <w:left w:w="10" w:type="dxa"/>
          <w:right w:w="10" w:type="dxa"/>
        </w:tblCellMar>
        <w:tblLook w:val="04A0" w:firstRow="1" w:lastRow="0" w:firstColumn="1" w:lastColumn="0" w:noHBand="0" w:noVBand="1"/>
      </w:tblPr>
      <w:tblGrid>
        <w:gridCol w:w="651"/>
        <w:gridCol w:w="2482"/>
        <w:gridCol w:w="1112"/>
        <w:gridCol w:w="865"/>
        <w:gridCol w:w="826"/>
        <w:gridCol w:w="869"/>
        <w:gridCol w:w="1119"/>
        <w:gridCol w:w="1370"/>
        <w:gridCol w:w="1312"/>
      </w:tblGrid>
      <w:tr w:rsidR="00EF2BC0" w14:paraId="701C2B41" w14:textId="77777777" w:rsidTr="00646D63">
        <w:trPr>
          <w:jc w:val="center"/>
        </w:trPr>
        <w:tc>
          <w:tcPr>
            <w:tcW w:w="651" w:type="dxa"/>
            <w:tcBorders>
              <w:top w:val="single" w:sz="2" w:space="0" w:color="000000"/>
              <w:left w:val="single" w:sz="2" w:space="0" w:color="000000"/>
              <w:bottom w:val="single" w:sz="2" w:space="0" w:color="000000"/>
              <w:right w:val="single" w:sz="2" w:space="0" w:color="000000"/>
            </w:tcBorders>
            <w:shd w:val="clear" w:color="auto" w:fill="BFBFBF"/>
            <w:tcMar>
              <w:top w:w="0" w:type="dxa"/>
              <w:left w:w="108" w:type="dxa"/>
              <w:bottom w:w="0" w:type="dxa"/>
              <w:right w:w="108" w:type="dxa"/>
            </w:tcMar>
            <w:vAlign w:val="center"/>
          </w:tcPr>
          <w:p w14:paraId="404DBAEE"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ITEM</w:t>
            </w:r>
          </w:p>
        </w:tc>
        <w:tc>
          <w:tcPr>
            <w:tcW w:w="2482" w:type="dxa"/>
            <w:tcBorders>
              <w:top w:val="single" w:sz="2" w:space="0" w:color="000000"/>
              <w:left w:val="single" w:sz="2" w:space="0" w:color="000000"/>
              <w:bottom w:val="single" w:sz="2" w:space="0" w:color="000000"/>
              <w:right w:val="single" w:sz="2" w:space="0" w:color="000000"/>
            </w:tcBorders>
            <w:shd w:val="clear" w:color="auto" w:fill="BFBFBF"/>
            <w:tcMar>
              <w:top w:w="0" w:type="dxa"/>
              <w:left w:w="108" w:type="dxa"/>
              <w:bottom w:w="0" w:type="dxa"/>
              <w:right w:w="108" w:type="dxa"/>
            </w:tcMar>
            <w:vAlign w:val="center"/>
          </w:tcPr>
          <w:p w14:paraId="0109061F" w14:textId="77777777" w:rsidR="00EF2BC0" w:rsidRDefault="00EF2BC0" w:rsidP="00646D63">
            <w:pPr>
              <w:pStyle w:val="Standard"/>
              <w:snapToGrid w:val="0"/>
              <w:jc w:val="center"/>
              <w:rPr>
                <w:rFonts w:ascii="Calibri" w:hAnsi="Calibri" w:cs="Calibri"/>
                <w:b/>
                <w:bCs/>
                <w:color w:val="000000"/>
                <w:sz w:val="18"/>
                <w:szCs w:val="20"/>
              </w:rPr>
            </w:pPr>
          </w:p>
          <w:p w14:paraId="523C7594"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DESCRIÇÃO/</w:t>
            </w:r>
          </w:p>
          <w:p w14:paraId="74778FF2"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ESPECIFICAÇÃO</w:t>
            </w:r>
          </w:p>
          <w:p w14:paraId="29DA32C6" w14:textId="77777777" w:rsidR="00EF2BC0" w:rsidRDefault="00EF2BC0" w:rsidP="00646D63">
            <w:pPr>
              <w:pStyle w:val="Standard"/>
              <w:jc w:val="center"/>
              <w:rPr>
                <w:rFonts w:ascii="Calibri" w:hAnsi="Calibri" w:cs="Calibri"/>
                <w:b/>
                <w:bCs/>
                <w:color w:val="000000"/>
                <w:sz w:val="18"/>
                <w:szCs w:val="20"/>
              </w:rPr>
            </w:pPr>
          </w:p>
        </w:tc>
        <w:tc>
          <w:tcPr>
            <w:tcW w:w="1112" w:type="dxa"/>
            <w:tcBorders>
              <w:top w:val="single" w:sz="2" w:space="0" w:color="000000"/>
              <w:left w:val="single" w:sz="2" w:space="0" w:color="000000"/>
              <w:bottom w:val="single" w:sz="2" w:space="0" w:color="000000"/>
              <w:right w:val="single" w:sz="2" w:space="0" w:color="000000"/>
            </w:tcBorders>
            <w:shd w:val="clear" w:color="auto" w:fill="BFBFBF"/>
            <w:tcMar>
              <w:top w:w="0" w:type="dxa"/>
              <w:left w:w="108" w:type="dxa"/>
              <w:bottom w:w="0" w:type="dxa"/>
              <w:right w:w="108" w:type="dxa"/>
            </w:tcMar>
            <w:vAlign w:val="center"/>
          </w:tcPr>
          <w:p w14:paraId="32DA9326"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CATMAT</w:t>
            </w:r>
          </w:p>
          <w:p w14:paraId="064BDBA5" w14:textId="77777777" w:rsidR="00EF2BC0" w:rsidRDefault="00EF2BC0" w:rsidP="00646D63">
            <w:pPr>
              <w:pStyle w:val="Standard"/>
              <w:jc w:val="center"/>
              <w:rPr>
                <w:rFonts w:ascii="Calibri" w:hAnsi="Calibri" w:cs="Calibri"/>
                <w:b/>
                <w:bCs/>
                <w:color w:val="000000"/>
                <w:sz w:val="18"/>
                <w:szCs w:val="20"/>
              </w:rPr>
            </w:pPr>
          </w:p>
        </w:tc>
        <w:tc>
          <w:tcPr>
            <w:tcW w:w="865" w:type="dxa"/>
            <w:tcBorders>
              <w:top w:val="single" w:sz="2" w:space="0" w:color="000000"/>
              <w:left w:val="single" w:sz="2" w:space="0" w:color="000000"/>
              <w:bottom w:val="single" w:sz="2" w:space="0" w:color="000000"/>
              <w:right w:val="single" w:sz="2" w:space="0" w:color="000000"/>
            </w:tcBorders>
            <w:shd w:val="clear" w:color="auto" w:fill="BFBFBF"/>
            <w:tcMar>
              <w:top w:w="0" w:type="dxa"/>
              <w:left w:w="108" w:type="dxa"/>
              <w:bottom w:w="0" w:type="dxa"/>
              <w:right w:w="108" w:type="dxa"/>
            </w:tcMar>
            <w:vAlign w:val="center"/>
          </w:tcPr>
          <w:p w14:paraId="2735FD51"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UNIDADE DE MEDIDA</w:t>
            </w:r>
          </w:p>
        </w:tc>
        <w:tc>
          <w:tcPr>
            <w:tcW w:w="826" w:type="dxa"/>
            <w:tcBorders>
              <w:top w:val="single" w:sz="2" w:space="0" w:color="000000"/>
              <w:left w:val="single" w:sz="2" w:space="0" w:color="000000"/>
              <w:bottom w:val="single" w:sz="2" w:space="0" w:color="000000"/>
              <w:right w:val="single" w:sz="2" w:space="0" w:color="000000"/>
            </w:tcBorders>
            <w:shd w:val="clear" w:color="auto" w:fill="BFBFBF"/>
            <w:tcMar>
              <w:top w:w="0" w:type="dxa"/>
              <w:left w:w="108" w:type="dxa"/>
              <w:bottom w:w="0" w:type="dxa"/>
              <w:right w:w="108" w:type="dxa"/>
            </w:tcMar>
            <w:vAlign w:val="center"/>
          </w:tcPr>
          <w:p w14:paraId="5D43E4FD"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*REQ.</w:t>
            </w:r>
          </w:p>
          <w:p w14:paraId="10B4B294"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MÍNIMA</w:t>
            </w:r>
          </w:p>
        </w:tc>
        <w:tc>
          <w:tcPr>
            <w:tcW w:w="869" w:type="dxa"/>
            <w:tcBorders>
              <w:top w:val="single" w:sz="2" w:space="0" w:color="000000"/>
              <w:left w:val="single" w:sz="2" w:space="0" w:color="000000"/>
              <w:bottom w:val="single" w:sz="2" w:space="0" w:color="000000"/>
              <w:right w:val="single" w:sz="2" w:space="0" w:color="000000"/>
            </w:tcBorders>
            <w:shd w:val="clear" w:color="auto" w:fill="BFBFBF"/>
            <w:tcMar>
              <w:top w:w="0" w:type="dxa"/>
              <w:left w:w="108" w:type="dxa"/>
              <w:bottom w:w="0" w:type="dxa"/>
              <w:right w:w="108" w:type="dxa"/>
            </w:tcMar>
            <w:vAlign w:val="center"/>
          </w:tcPr>
          <w:p w14:paraId="7F33841F"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*REQ.</w:t>
            </w:r>
          </w:p>
          <w:p w14:paraId="7660877A"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MÁXIMA</w:t>
            </w:r>
          </w:p>
        </w:tc>
        <w:tc>
          <w:tcPr>
            <w:tcW w:w="1119" w:type="dxa"/>
            <w:tcBorders>
              <w:top w:val="single" w:sz="2" w:space="0" w:color="000000"/>
              <w:left w:val="single" w:sz="2" w:space="0" w:color="000000"/>
              <w:bottom w:val="single" w:sz="2" w:space="0" w:color="000000"/>
              <w:right w:val="single" w:sz="2" w:space="0" w:color="000000"/>
            </w:tcBorders>
            <w:shd w:val="clear" w:color="auto" w:fill="BFBFBF"/>
            <w:tcMar>
              <w:top w:w="0" w:type="dxa"/>
              <w:left w:w="108" w:type="dxa"/>
              <w:bottom w:w="0" w:type="dxa"/>
              <w:right w:w="108" w:type="dxa"/>
            </w:tcMar>
            <w:vAlign w:val="center"/>
          </w:tcPr>
          <w:p w14:paraId="703A5B03"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QTD TOTAL</w:t>
            </w:r>
          </w:p>
        </w:tc>
        <w:tc>
          <w:tcPr>
            <w:tcW w:w="1370" w:type="dxa"/>
            <w:tcBorders>
              <w:top w:val="single" w:sz="2" w:space="0" w:color="000000"/>
              <w:left w:val="single" w:sz="2" w:space="0" w:color="000000"/>
              <w:bottom w:val="single" w:sz="2" w:space="0" w:color="000000"/>
              <w:right w:val="single" w:sz="2" w:space="0" w:color="000000"/>
            </w:tcBorders>
            <w:shd w:val="clear" w:color="auto" w:fill="BFBFBF"/>
            <w:tcMar>
              <w:top w:w="0" w:type="dxa"/>
              <w:left w:w="108" w:type="dxa"/>
              <w:bottom w:w="0" w:type="dxa"/>
              <w:right w:w="108" w:type="dxa"/>
            </w:tcMar>
            <w:vAlign w:val="center"/>
          </w:tcPr>
          <w:p w14:paraId="09C2807F"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VALOR UNITÁRIO</w:t>
            </w:r>
          </w:p>
        </w:tc>
        <w:tc>
          <w:tcPr>
            <w:tcW w:w="1312" w:type="dxa"/>
            <w:tcBorders>
              <w:top w:val="single" w:sz="2" w:space="0" w:color="000000"/>
              <w:left w:val="single" w:sz="2" w:space="0" w:color="000000"/>
              <w:bottom w:val="single" w:sz="2" w:space="0" w:color="000000"/>
              <w:right w:val="single" w:sz="2" w:space="0" w:color="000000"/>
            </w:tcBorders>
            <w:shd w:val="clear" w:color="auto" w:fill="BFBFBF"/>
            <w:tcMar>
              <w:top w:w="0" w:type="dxa"/>
              <w:left w:w="108" w:type="dxa"/>
              <w:bottom w:w="0" w:type="dxa"/>
              <w:right w:w="108" w:type="dxa"/>
            </w:tcMar>
            <w:vAlign w:val="center"/>
          </w:tcPr>
          <w:p w14:paraId="05C84C1A" w14:textId="77777777" w:rsidR="00EF2BC0" w:rsidRDefault="00EF2BC0" w:rsidP="00646D63">
            <w:pPr>
              <w:pStyle w:val="Standard"/>
              <w:jc w:val="center"/>
              <w:rPr>
                <w:rFonts w:ascii="Calibri" w:hAnsi="Calibri" w:cs="Calibri"/>
                <w:b/>
                <w:bCs/>
                <w:color w:val="000000"/>
                <w:sz w:val="18"/>
                <w:szCs w:val="20"/>
              </w:rPr>
            </w:pPr>
            <w:r>
              <w:rPr>
                <w:rFonts w:ascii="Calibri" w:hAnsi="Calibri" w:cs="Calibri"/>
                <w:b/>
                <w:bCs/>
                <w:color w:val="000000"/>
                <w:sz w:val="18"/>
                <w:szCs w:val="20"/>
              </w:rPr>
              <w:t>VALOR TOTAL</w:t>
            </w:r>
          </w:p>
        </w:tc>
      </w:tr>
      <w:tr w:rsidR="00EF2BC0" w14:paraId="1610EF83" w14:textId="77777777" w:rsidTr="00646D63">
        <w:trPr>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3B4441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5A4FA5A" w14:textId="77777777" w:rsidR="00EF2BC0" w:rsidRDefault="00EF2BC0" w:rsidP="00646D63">
            <w:pPr>
              <w:jc w:val="both"/>
            </w:pPr>
            <w:r>
              <w:rPr>
                <w:rFonts w:ascii="Calibri" w:hAnsi="Calibri" w:cs="Calibri"/>
                <w:b/>
                <w:bCs/>
                <w:color w:val="000000"/>
                <w:sz w:val="18"/>
                <w:szCs w:val="18"/>
              </w:rPr>
              <w:t xml:space="preserve">Materiais de Alvenaria: </w:t>
            </w:r>
            <w:r>
              <w:rPr>
                <w:rFonts w:ascii="Calibri" w:hAnsi="Calibri" w:cs="Calibri"/>
                <w:color w:val="000000"/>
                <w:sz w:val="18"/>
                <w:szCs w:val="18"/>
              </w:rPr>
              <w:t>abrangendo blocos, tijolos, cimento, areia, brita, argamassas, pisos, revestimentos, cal e afins (baseado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52519ED" w14:textId="77777777" w:rsidR="00EF2BC0" w:rsidRDefault="00EF2BC0" w:rsidP="00646D63">
            <w:pPr>
              <w:jc w:val="center"/>
              <w:rPr>
                <w:rFonts w:ascii="Calibri" w:hAnsi="Calibri" w:cs="Calibri"/>
                <w:b/>
                <w:bCs/>
                <w:sz w:val="18"/>
                <w:szCs w:val="18"/>
              </w:rPr>
            </w:pPr>
            <w:r>
              <w:rPr>
                <w:rFonts w:ascii="Calibri" w:hAnsi="Calibri" w:cs="Calibri"/>
                <w:b/>
                <w:bCs/>
                <w:sz w:val="18"/>
                <w:szCs w:val="18"/>
              </w:rPr>
              <w:t>233636</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B605AA9"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A82DCC3"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95BF6BD"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300.000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8157897"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300.000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AC02114"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7C1EF94"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R$ 300.000,00</w:t>
            </w:r>
          </w:p>
        </w:tc>
      </w:tr>
      <w:tr w:rsidR="00EF2BC0" w14:paraId="0A499860" w14:textId="77777777" w:rsidTr="00646D63">
        <w:trPr>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2C139E7"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2</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9D70711" w14:textId="77777777" w:rsidR="00EF2BC0" w:rsidRDefault="00EF2BC0" w:rsidP="00646D63">
            <w:pPr>
              <w:jc w:val="both"/>
            </w:pPr>
            <w:r>
              <w:rPr>
                <w:rFonts w:ascii="Calibri" w:hAnsi="Calibri" w:cs="Calibri"/>
                <w:b/>
                <w:bCs/>
                <w:color w:val="000000"/>
                <w:sz w:val="18"/>
                <w:szCs w:val="18"/>
              </w:rPr>
              <w:t>Materiais Hidráulicos:</w:t>
            </w:r>
            <w:r>
              <w:rPr>
                <w:rFonts w:ascii="Calibri" w:hAnsi="Calibri" w:cs="Calibri"/>
                <w:color w:val="000000"/>
                <w:sz w:val="18"/>
                <w:szCs w:val="18"/>
              </w:rPr>
              <w:t xml:space="preserve"> abrangendo tubos e conexões, aparelhos e metais, caixas e ralos, registros e válvulas, louças, torneiras, chuveiros e reservatórios e demais acessórios, complementos e afins (baseado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9370132" w14:textId="77777777" w:rsidR="00EF2BC0" w:rsidRDefault="00EF2BC0" w:rsidP="00646D63">
            <w:pPr>
              <w:jc w:val="center"/>
              <w:rPr>
                <w:rFonts w:ascii="Calibri" w:hAnsi="Calibri" w:cs="Calibri"/>
                <w:b/>
                <w:bCs/>
                <w:sz w:val="18"/>
                <w:szCs w:val="18"/>
              </w:rPr>
            </w:pPr>
            <w:r>
              <w:rPr>
                <w:rFonts w:ascii="Calibri" w:hAnsi="Calibri" w:cs="Calibri"/>
                <w:b/>
                <w:bCs/>
                <w:sz w:val="18"/>
                <w:szCs w:val="18"/>
              </w:rPr>
              <w:t>436270</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E35DC31"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34D158D"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F407C3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30.000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7EA3A74"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30.000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FD130E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74E1A0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R$ 30.000,00</w:t>
            </w:r>
          </w:p>
        </w:tc>
      </w:tr>
      <w:tr w:rsidR="00EF2BC0" w14:paraId="24F448D4"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4674AE7"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3</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9B16A51" w14:textId="77777777" w:rsidR="00EF2BC0" w:rsidRDefault="00EF2BC0" w:rsidP="00646D63">
            <w:pPr>
              <w:jc w:val="both"/>
            </w:pPr>
            <w:r>
              <w:rPr>
                <w:rFonts w:ascii="Calibri" w:hAnsi="Calibri" w:cs="Calibri"/>
                <w:b/>
                <w:bCs/>
                <w:color w:val="000000"/>
                <w:sz w:val="18"/>
                <w:szCs w:val="18"/>
              </w:rPr>
              <w:t>Materiais Elétricos:</w:t>
            </w:r>
            <w:r>
              <w:rPr>
                <w:rFonts w:ascii="Calibri" w:hAnsi="Calibri" w:cs="Calibri"/>
                <w:color w:val="000000"/>
                <w:sz w:val="18"/>
                <w:szCs w:val="18"/>
              </w:rPr>
              <w:t xml:space="preserve"> abrangendo tomadas, interruptores, cabos fios, iluminação, disjuntores, materiais e equipamentos para solda, complementos e afins (baseado na Tabela SINAPI-AM). Obs.: Excetuam-se os regidos pelo Regulamento Específico Para Uso Da Etiqueta Nacional de Conservação De Energia - ENCE / Edição Nº 05 - Revisão 00 Condicionadores de Ar Domésticos.</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6487C91" w14:textId="77777777" w:rsidR="00EF2BC0" w:rsidRDefault="00EF2BC0" w:rsidP="00646D63">
            <w:pPr>
              <w:jc w:val="center"/>
              <w:rPr>
                <w:rFonts w:ascii="Calibri" w:hAnsi="Calibri" w:cs="Calibri"/>
                <w:b/>
                <w:bCs/>
                <w:sz w:val="18"/>
                <w:szCs w:val="18"/>
              </w:rPr>
            </w:pPr>
            <w:r>
              <w:rPr>
                <w:rFonts w:ascii="Calibri" w:hAnsi="Calibri" w:cs="Calibri"/>
                <w:b/>
                <w:bCs/>
                <w:sz w:val="18"/>
                <w:szCs w:val="18"/>
              </w:rPr>
              <w:t>325509</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5DFAA09"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08AC933"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75590A1"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40.000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89A47EF"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40.000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1C64E53"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FB7B053"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R$ 40.000,00</w:t>
            </w:r>
          </w:p>
        </w:tc>
      </w:tr>
      <w:tr w:rsidR="00EF2BC0" w14:paraId="06F1B8F7"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A9ABD57"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4</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D5E81A8" w14:textId="77777777" w:rsidR="00EF2BC0" w:rsidRDefault="00EF2BC0" w:rsidP="00646D63">
            <w:pPr>
              <w:jc w:val="both"/>
            </w:pPr>
            <w:r>
              <w:rPr>
                <w:rFonts w:ascii="Calibri" w:hAnsi="Calibri" w:cs="Calibri"/>
                <w:b/>
                <w:bCs/>
                <w:color w:val="000000"/>
                <w:sz w:val="18"/>
                <w:szCs w:val="18"/>
              </w:rPr>
              <w:t>Materiais de Pintura:</w:t>
            </w:r>
            <w:r>
              <w:rPr>
                <w:rFonts w:ascii="Calibri" w:hAnsi="Calibri" w:cs="Calibri"/>
                <w:color w:val="000000"/>
                <w:sz w:val="18"/>
                <w:szCs w:val="18"/>
              </w:rPr>
              <w:t xml:space="preserve"> abrangendo tintas, massas, impermeabilizantes, solventes e removedores, fundos e seladores, vernizes, silicones, adesivos e colas, pinceis, rolos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DA0D5B6" w14:textId="77777777" w:rsidR="00EF2BC0" w:rsidRDefault="00EF2BC0" w:rsidP="00646D63">
            <w:pPr>
              <w:jc w:val="center"/>
              <w:rPr>
                <w:rFonts w:ascii="Calibri" w:hAnsi="Calibri" w:cs="Calibri"/>
                <w:b/>
                <w:bCs/>
                <w:sz w:val="18"/>
                <w:szCs w:val="18"/>
              </w:rPr>
            </w:pPr>
            <w:r>
              <w:rPr>
                <w:rFonts w:ascii="Calibri" w:hAnsi="Calibri" w:cs="Calibri"/>
                <w:b/>
                <w:bCs/>
                <w:sz w:val="18"/>
                <w:szCs w:val="18"/>
              </w:rPr>
              <w:t>474214</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E336C20"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5C7ECA1"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1CDB0A1"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40.000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AFE1003"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40.000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FB9494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23D5BA7"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R$ 40.000,00</w:t>
            </w:r>
          </w:p>
        </w:tc>
      </w:tr>
      <w:tr w:rsidR="00EF2BC0" w14:paraId="36573005"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2517E0E"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lastRenderedPageBreak/>
              <w:t>5</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B5D8A8A" w14:textId="77777777" w:rsidR="00EF2BC0" w:rsidRDefault="00EF2BC0" w:rsidP="00646D63">
            <w:pPr>
              <w:jc w:val="both"/>
            </w:pPr>
            <w:r>
              <w:rPr>
                <w:rFonts w:ascii="Calibri" w:hAnsi="Calibri" w:cs="Calibri"/>
                <w:b/>
                <w:bCs/>
                <w:color w:val="000000"/>
                <w:sz w:val="18"/>
                <w:szCs w:val="18"/>
              </w:rPr>
              <w:t xml:space="preserve">Materiais de carpintaria e marcenaria: </w:t>
            </w:r>
            <w:r>
              <w:rPr>
                <w:rFonts w:ascii="Calibri" w:hAnsi="Calibri" w:cs="Calibri"/>
                <w:color w:val="000000"/>
                <w:sz w:val="18"/>
                <w:szCs w:val="18"/>
              </w:rPr>
              <w:t>abrangendo madeiras, compensados, barrotes, caibros, tábuas e demais acessórios, complementos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E9881D8" w14:textId="77777777" w:rsidR="00EF2BC0" w:rsidRDefault="00EF2BC0" w:rsidP="00646D63">
            <w:pPr>
              <w:jc w:val="center"/>
              <w:rPr>
                <w:rFonts w:ascii="Calibri" w:hAnsi="Calibri" w:cs="Calibri"/>
                <w:b/>
                <w:bCs/>
                <w:sz w:val="18"/>
                <w:szCs w:val="18"/>
              </w:rPr>
            </w:pPr>
            <w:r>
              <w:rPr>
                <w:rFonts w:ascii="Calibri" w:hAnsi="Calibri" w:cs="Calibri"/>
                <w:b/>
                <w:bCs/>
                <w:sz w:val="18"/>
                <w:szCs w:val="18"/>
              </w:rPr>
              <w:t>612342</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BB9F764"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854A507"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24BAE06"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50.000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C5FE3AA"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50.000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5ADAF2D"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3261097"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R$ 50.000,00</w:t>
            </w:r>
          </w:p>
        </w:tc>
      </w:tr>
      <w:tr w:rsidR="00EF2BC0" w14:paraId="5F066090"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9DA0E60"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6</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D665B8E" w14:textId="77777777" w:rsidR="00EF2BC0" w:rsidRDefault="00EF2BC0" w:rsidP="00646D63">
            <w:pPr>
              <w:jc w:val="both"/>
            </w:pPr>
            <w:r>
              <w:rPr>
                <w:rFonts w:ascii="Calibri" w:hAnsi="Calibri" w:cs="Calibri"/>
                <w:b/>
                <w:bCs/>
                <w:color w:val="000000"/>
                <w:sz w:val="18"/>
                <w:szCs w:val="18"/>
              </w:rPr>
              <w:t>Materiais permanentes:</w:t>
            </w:r>
            <w:r>
              <w:rPr>
                <w:rFonts w:ascii="Calibri" w:hAnsi="Calibri" w:cs="Calibri"/>
                <w:color w:val="000000"/>
                <w:sz w:val="18"/>
                <w:szCs w:val="18"/>
              </w:rPr>
              <w:t xml:space="preserve"> equipamentos de climatização, equipamentos ferramentais, bombas variadas, geradores,  demais acessórios, complementos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AD338E4" w14:textId="77777777" w:rsidR="00EF2BC0" w:rsidRDefault="00EF2BC0" w:rsidP="00646D63">
            <w:pPr>
              <w:jc w:val="center"/>
              <w:rPr>
                <w:rFonts w:ascii="Calibri" w:hAnsi="Calibri" w:cs="Calibri"/>
                <w:b/>
                <w:bCs/>
                <w:sz w:val="18"/>
                <w:szCs w:val="18"/>
              </w:rPr>
            </w:pPr>
            <w:r>
              <w:rPr>
                <w:rFonts w:ascii="Calibri" w:hAnsi="Calibri" w:cs="Calibri"/>
                <w:b/>
                <w:bCs/>
                <w:sz w:val="18"/>
                <w:szCs w:val="18"/>
              </w:rPr>
              <w:t>610388</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43A68A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FCDC92E"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4AB9C83"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100.000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6A02D46"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100.000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9F5AE8B"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135FBB7"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R$ 100.000,00</w:t>
            </w:r>
          </w:p>
        </w:tc>
      </w:tr>
      <w:tr w:rsidR="00EF2BC0" w14:paraId="53C6F0D8"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2B3604A"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7</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681A08C" w14:textId="77777777" w:rsidR="00EF2BC0" w:rsidRDefault="00EF2BC0" w:rsidP="00646D63">
            <w:pPr>
              <w:jc w:val="both"/>
            </w:pPr>
            <w:r>
              <w:rPr>
                <w:rFonts w:ascii="Calibri" w:hAnsi="Calibri" w:cs="Calibri"/>
                <w:b/>
                <w:bCs/>
                <w:color w:val="000000"/>
                <w:sz w:val="18"/>
                <w:szCs w:val="18"/>
              </w:rPr>
              <w:t xml:space="preserve">Materiais de Janelas e Portas: </w:t>
            </w:r>
            <w:r>
              <w:rPr>
                <w:rFonts w:ascii="Calibri" w:hAnsi="Calibri" w:cs="Calibri"/>
                <w:color w:val="000000"/>
                <w:sz w:val="18"/>
                <w:szCs w:val="18"/>
              </w:rPr>
              <w:t>demais acessórios, complementos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5F8CE09" w14:textId="77777777" w:rsidR="00EF2BC0" w:rsidRDefault="00EF2BC0" w:rsidP="00646D63">
            <w:pPr>
              <w:jc w:val="center"/>
              <w:rPr>
                <w:rFonts w:ascii="Calibri" w:hAnsi="Calibri" w:cs="Calibri"/>
                <w:b/>
                <w:bCs/>
                <w:sz w:val="18"/>
                <w:szCs w:val="18"/>
              </w:rPr>
            </w:pPr>
            <w:r>
              <w:rPr>
                <w:rFonts w:ascii="Calibri" w:hAnsi="Calibri" w:cs="Calibri"/>
                <w:b/>
                <w:bCs/>
                <w:sz w:val="18"/>
                <w:szCs w:val="18"/>
              </w:rPr>
              <w:t>480915</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5050B6F"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D9464D6"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0ED327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30.000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6B5FF6F"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30.000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F1516FE"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7200E06"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R$ 30.000,00</w:t>
            </w:r>
          </w:p>
        </w:tc>
      </w:tr>
      <w:tr w:rsidR="00EF2BC0" w14:paraId="716A9A5C"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2126131"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8</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6275CA8" w14:textId="77777777" w:rsidR="00EF2BC0" w:rsidRDefault="00EF2BC0" w:rsidP="00646D63">
            <w:pPr>
              <w:jc w:val="both"/>
            </w:pPr>
            <w:r>
              <w:rPr>
                <w:rFonts w:ascii="Calibri" w:hAnsi="Calibri" w:cs="Calibri"/>
                <w:b/>
                <w:bCs/>
                <w:color w:val="000000"/>
                <w:sz w:val="18"/>
                <w:szCs w:val="18"/>
              </w:rPr>
              <w:t xml:space="preserve">Materiais de Telhas e Calhas: </w:t>
            </w:r>
            <w:r>
              <w:rPr>
                <w:rFonts w:ascii="Calibri" w:hAnsi="Calibri" w:cs="Calibri"/>
                <w:color w:val="000000"/>
                <w:sz w:val="18"/>
                <w:szCs w:val="18"/>
              </w:rPr>
              <w:t>demais acessórios, complementos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F1A7A4B" w14:textId="77777777" w:rsidR="00EF2BC0" w:rsidRDefault="00EF2BC0" w:rsidP="00646D63">
            <w:pPr>
              <w:jc w:val="center"/>
              <w:rPr>
                <w:rFonts w:ascii="Calibri" w:hAnsi="Calibri" w:cs="Calibri"/>
                <w:b/>
                <w:bCs/>
                <w:sz w:val="18"/>
                <w:szCs w:val="18"/>
              </w:rPr>
            </w:pPr>
            <w:r>
              <w:rPr>
                <w:rFonts w:ascii="Calibri" w:hAnsi="Calibri" w:cs="Calibri"/>
                <w:b/>
                <w:bCs/>
                <w:sz w:val="18"/>
                <w:szCs w:val="18"/>
              </w:rPr>
              <w:t>611390</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5D239E2"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D035423"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3BFB60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80.000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CB7195C"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80.000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754D10F"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BE52935"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R$ 80.000,00</w:t>
            </w:r>
          </w:p>
        </w:tc>
      </w:tr>
      <w:tr w:rsidR="00EF2BC0" w14:paraId="46F4E361"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1B0BFE6"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9</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4BE936E" w14:textId="77777777" w:rsidR="00EF2BC0" w:rsidRDefault="00EF2BC0" w:rsidP="00646D63">
            <w:pPr>
              <w:jc w:val="both"/>
            </w:pPr>
            <w:r>
              <w:rPr>
                <w:rFonts w:ascii="Calibri" w:hAnsi="Calibri" w:cs="Calibri"/>
                <w:b/>
                <w:bCs/>
                <w:color w:val="000000"/>
                <w:sz w:val="18"/>
                <w:szCs w:val="18"/>
              </w:rPr>
              <w:t>Materiais de Ferro e Aço:</w:t>
            </w:r>
            <w:r>
              <w:rPr>
                <w:rFonts w:ascii="Calibri" w:hAnsi="Calibri" w:cs="Calibri"/>
                <w:color w:val="000000"/>
                <w:sz w:val="18"/>
                <w:szCs w:val="18"/>
              </w:rPr>
              <w:t xml:space="preserve"> abrangendo tubos, chapas, telhas, arames, telas, vigas, perfis, vergalhões e demais acessórios, complementos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E2A9144" w14:textId="77777777" w:rsidR="00EF2BC0" w:rsidRDefault="00EF2BC0" w:rsidP="00646D63">
            <w:pPr>
              <w:jc w:val="center"/>
              <w:rPr>
                <w:rFonts w:ascii="Calibri" w:hAnsi="Calibri" w:cs="Calibri"/>
                <w:b/>
                <w:bCs/>
                <w:sz w:val="18"/>
                <w:szCs w:val="18"/>
              </w:rPr>
            </w:pPr>
            <w:r>
              <w:rPr>
                <w:rFonts w:ascii="Calibri" w:hAnsi="Calibri" w:cs="Calibri"/>
                <w:b/>
                <w:bCs/>
                <w:sz w:val="18"/>
                <w:szCs w:val="18"/>
              </w:rPr>
              <w:t>245854</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213C14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AEAD06D"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D4AEDBF"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100.000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E8F6D82"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100.000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F690C1D"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C027FFD"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R$ 100.000,00</w:t>
            </w:r>
          </w:p>
        </w:tc>
      </w:tr>
      <w:tr w:rsidR="00EF2BC0" w14:paraId="4C178A4F"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BC3CB3E"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10</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158DC8B" w14:textId="77777777" w:rsidR="00EF2BC0" w:rsidRDefault="00EF2BC0" w:rsidP="00646D63">
            <w:pPr>
              <w:jc w:val="both"/>
            </w:pPr>
            <w:r>
              <w:rPr>
                <w:rFonts w:ascii="Calibri" w:hAnsi="Calibri" w:cs="Calibri"/>
                <w:b/>
                <w:bCs/>
                <w:color w:val="000000"/>
                <w:sz w:val="18"/>
                <w:szCs w:val="18"/>
              </w:rPr>
              <w:t>Materiais de ferragens:</w:t>
            </w:r>
            <w:r>
              <w:rPr>
                <w:rFonts w:ascii="Calibri" w:hAnsi="Calibri" w:cs="Calibri"/>
                <w:color w:val="000000"/>
                <w:sz w:val="18"/>
                <w:szCs w:val="18"/>
              </w:rPr>
              <w:t xml:space="preserve"> abrangendo dobradiças, fechaduras, trancas, pregos, parafusos, suportes, ganchos e demais acessórios, complementos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911A43A" w14:textId="77777777" w:rsidR="00EF2BC0" w:rsidRDefault="00EF2BC0" w:rsidP="00646D63">
            <w:pPr>
              <w:jc w:val="center"/>
              <w:rPr>
                <w:rFonts w:ascii="Calibri" w:hAnsi="Calibri" w:cs="Calibri"/>
                <w:b/>
                <w:bCs/>
                <w:sz w:val="18"/>
                <w:szCs w:val="18"/>
              </w:rPr>
            </w:pPr>
            <w:r>
              <w:rPr>
                <w:rFonts w:ascii="Calibri" w:hAnsi="Calibri" w:cs="Calibri"/>
                <w:b/>
                <w:bCs/>
                <w:sz w:val="18"/>
                <w:szCs w:val="18"/>
              </w:rPr>
              <w:t>612622</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4D615D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410D1F7"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453CA0B"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15.000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D7AF59E"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15.000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12D7E45"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9520F09"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R$ 15.000,00</w:t>
            </w:r>
          </w:p>
        </w:tc>
      </w:tr>
      <w:tr w:rsidR="00EF2BC0" w14:paraId="5A39030B"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E21E1D3"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11</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4E12F6C" w14:textId="77777777" w:rsidR="00EF2BC0" w:rsidRDefault="00EF2BC0" w:rsidP="00646D63">
            <w:pPr>
              <w:jc w:val="both"/>
            </w:pPr>
            <w:r>
              <w:rPr>
                <w:rFonts w:ascii="Calibri" w:hAnsi="Calibri" w:cs="Calibri"/>
                <w:b/>
                <w:bCs/>
                <w:color w:val="000000"/>
                <w:sz w:val="18"/>
                <w:szCs w:val="18"/>
              </w:rPr>
              <w:t>Ferramental em geral, mecânica, hidráulica, elétrica, refrigeração, serralheria e equipamentos manuais</w:t>
            </w:r>
            <w:r>
              <w:rPr>
                <w:rFonts w:ascii="Calibri" w:hAnsi="Calibri" w:cs="Calibri"/>
                <w:color w:val="000000"/>
                <w:sz w:val="18"/>
                <w:szCs w:val="18"/>
              </w:rPr>
              <w:t xml:space="preserve"> equipamentos de solda tipo gases, demais acessórios, complementos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DE51EEC" w14:textId="77777777" w:rsidR="00EF2BC0" w:rsidRDefault="00EF2BC0" w:rsidP="00646D63">
            <w:pPr>
              <w:jc w:val="center"/>
              <w:rPr>
                <w:rFonts w:ascii="Calibri" w:hAnsi="Calibri" w:cs="Calibri"/>
                <w:b/>
                <w:bCs/>
                <w:sz w:val="18"/>
                <w:szCs w:val="18"/>
              </w:rPr>
            </w:pPr>
            <w:r>
              <w:rPr>
                <w:rFonts w:ascii="Calibri" w:hAnsi="Calibri" w:cs="Calibri"/>
                <w:b/>
                <w:bCs/>
                <w:sz w:val="18"/>
                <w:szCs w:val="18"/>
              </w:rPr>
              <w:t>452498</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9E011AA"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41256A3"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E9287AE"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50.000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66BD73C"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50.000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22CD50B"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CF5BBF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R$ 50.000,00</w:t>
            </w:r>
          </w:p>
        </w:tc>
      </w:tr>
      <w:tr w:rsidR="00EF2BC0" w14:paraId="683B7B35"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83690B1"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12</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059AC05" w14:textId="77777777" w:rsidR="00EF2BC0" w:rsidRDefault="00EF2BC0" w:rsidP="00646D63">
            <w:pPr>
              <w:jc w:val="both"/>
            </w:pPr>
            <w:r>
              <w:rPr>
                <w:rFonts w:ascii="Calibri" w:hAnsi="Calibri" w:cs="Calibri"/>
                <w:b/>
                <w:bCs/>
                <w:color w:val="000000"/>
                <w:sz w:val="18"/>
                <w:szCs w:val="18"/>
              </w:rPr>
              <w:t>Materiais de Equipamentos de Proteção Individual e Coletivo</w:t>
            </w:r>
            <w:r>
              <w:rPr>
                <w:rFonts w:ascii="Calibri" w:hAnsi="Calibri" w:cs="Calibri"/>
                <w:color w:val="000000"/>
                <w:sz w:val="18"/>
                <w:szCs w:val="18"/>
              </w:rPr>
              <w:t xml:space="preserve">: abrangendo, botas, capacetes, coletes de sinalização, óculos, abafadores, barreiras, cones </w:t>
            </w:r>
            <w:r>
              <w:rPr>
                <w:rFonts w:ascii="Calibri" w:hAnsi="Calibri" w:cs="Calibri"/>
                <w:color w:val="000000"/>
                <w:sz w:val="18"/>
                <w:szCs w:val="18"/>
              </w:rPr>
              <w:lastRenderedPageBreak/>
              <w:t>de sinalização, complementos e afins (baseado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B290DDD" w14:textId="77777777" w:rsidR="00EF2BC0" w:rsidRDefault="00EF2BC0" w:rsidP="00646D63">
            <w:pPr>
              <w:jc w:val="center"/>
              <w:rPr>
                <w:rFonts w:ascii="Calibri" w:hAnsi="Calibri" w:cs="Calibri"/>
                <w:b/>
                <w:bCs/>
                <w:sz w:val="18"/>
                <w:szCs w:val="18"/>
              </w:rPr>
            </w:pPr>
            <w:r>
              <w:rPr>
                <w:rFonts w:ascii="Calibri" w:hAnsi="Calibri" w:cs="Calibri"/>
                <w:b/>
                <w:bCs/>
                <w:sz w:val="18"/>
                <w:szCs w:val="18"/>
              </w:rPr>
              <w:lastRenderedPageBreak/>
              <w:t>614119</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105AD2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Unidade</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1D09126" w14:textId="77777777" w:rsidR="00EF2BC0" w:rsidRDefault="00EF2BC0" w:rsidP="00646D63">
            <w:pPr>
              <w:jc w:val="center"/>
            </w:pPr>
            <w:r w:rsidRPr="00D74860">
              <w:rPr>
                <w:rFonts w:ascii="Calibri" w:hAnsi="Calibri" w:cs="Calibri"/>
                <w:color w:val="000000"/>
                <w:sz w:val="18"/>
                <w:szCs w:val="18"/>
              </w:rPr>
              <w:t>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95D52CB"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15.000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C3E21F2"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15.000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6A8FF7B"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C5DDEDB"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R$ 15.000,00</w:t>
            </w:r>
          </w:p>
        </w:tc>
      </w:tr>
      <w:tr w:rsidR="00EF2BC0" w14:paraId="49807526"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CF27FA3"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lastRenderedPageBreak/>
              <w:t>13 </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E1772D3" w14:textId="77777777" w:rsidR="00EF2BC0" w:rsidRDefault="00EF2BC0" w:rsidP="00646D63">
            <w:pPr>
              <w:jc w:val="both"/>
            </w:pPr>
            <w:r>
              <w:rPr>
                <w:rFonts w:ascii="Calibri" w:hAnsi="Calibri" w:cs="Calibri"/>
                <w:b/>
                <w:bCs/>
                <w:color w:val="000000"/>
                <w:sz w:val="18"/>
                <w:szCs w:val="18"/>
              </w:rPr>
              <w:t>Materiais de sinalização e segurança:</w:t>
            </w:r>
            <w:r>
              <w:rPr>
                <w:rFonts w:ascii="Calibri" w:hAnsi="Calibri" w:cs="Calibri"/>
                <w:color w:val="000000"/>
                <w:sz w:val="18"/>
                <w:szCs w:val="18"/>
              </w:rPr>
              <w:t xml:space="preserve"> EPI’s, capacetes, cintos de segurança, cordas, ganchos, sineres, placas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49CBDA1" w14:textId="77777777" w:rsidR="00EF2BC0" w:rsidRDefault="00EF2BC0" w:rsidP="00646D63">
            <w:pPr>
              <w:jc w:val="center"/>
              <w:rPr>
                <w:rFonts w:ascii="Calibri" w:hAnsi="Calibri" w:cs="Calibri"/>
                <w:b/>
                <w:bCs/>
                <w:sz w:val="18"/>
                <w:szCs w:val="18"/>
              </w:rPr>
            </w:pPr>
            <w:r>
              <w:rPr>
                <w:rFonts w:ascii="Calibri" w:hAnsi="Calibri" w:cs="Calibri"/>
                <w:b/>
                <w:bCs/>
                <w:sz w:val="18"/>
                <w:szCs w:val="18"/>
              </w:rPr>
              <w:t>211266</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C238D12"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 xml:space="preserve">Unidade </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AE7E598"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500 </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D5FF460"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15.000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52EDFF7"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15.000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252DF73"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052F4A7"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R$ 15.000,00</w:t>
            </w:r>
          </w:p>
        </w:tc>
      </w:tr>
      <w:tr w:rsidR="00EF2BC0" w14:paraId="1455CDA2" w14:textId="77777777" w:rsidTr="00646D63">
        <w:trPr>
          <w:trHeight w:val="851"/>
          <w:jc w:val="center"/>
        </w:trPr>
        <w:tc>
          <w:tcPr>
            <w:tcW w:w="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01B1269"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14 </w:t>
            </w:r>
          </w:p>
        </w:tc>
        <w:tc>
          <w:tcPr>
            <w:tcW w:w="248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099E3DA9" w14:textId="1FBF8090" w:rsidR="00EF2BC0" w:rsidRDefault="00EF2BC0" w:rsidP="00734026">
            <w:pPr>
              <w:jc w:val="both"/>
            </w:pPr>
            <w:r>
              <w:rPr>
                <w:rFonts w:ascii="Calibri" w:hAnsi="Calibri" w:cs="Calibri"/>
                <w:b/>
                <w:bCs/>
                <w:color w:val="000000"/>
                <w:sz w:val="18"/>
                <w:szCs w:val="18"/>
              </w:rPr>
              <w:t xml:space="preserve">Materiais de combate a incêndio: </w:t>
            </w:r>
            <w:r>
              <w:rPr>
                <w:rFonts w:ascii="Calibri" w:hAnsi="Calibri" w:cs="Calibri"/>
                <w:color w:val="000000"/>
                <w:sz w:val="18"/>
                <w:szCs w:val="18"/>
              </w:rPr>
              <w:t>extintores, recargas de extintores, hidrantes, mangueiras de incêndio, complementos e afins (baseados na tabela SINAPI-AM)</w:t>
            </w:r>
          </w:p>
        </w:tc>
        <w:tc>
          <w:tcPr>
            <w:tcW w:w="11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6B02502" w14:textId="77777777" w:rsidR="00EF2BC0" w:rsidRDefault="00EF2BC0" w:rsidP="00646D63">
            <w:pPr>
              <w:jc w:val="center"/>
              <w:rPr>
                <w:rFonts w:ascii="Calibri" w:hAnsi="Calibri" w:cs="Calibri"/>
                <w:b/>
                <w:bCs/>
                <w:sz w:val="18"/>
                <w:szCs w:val="18"/>
              </w:rPr>
            </w:pPr>
            <w:r>
              <w:rPr>
                <w:rFonts w:ascii="Calibri" w:hAnsi="Calibri" w:cs="Calibri"/>
                <w:b/>
                <w:bCs/>
                <w:sz w:val="18"/>
                <w:szCs w:val="18"/>
              </w:rPr>
              <w:t>604784</w:t>
            </w:r>
          </w:p>
        </w:tc>
        <w:tc>
          <w:tcPr>
            <w:tcW w:w="86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E88826F"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 xml:space="preserve">Unidade </w:t>
            </w:r>
          </w:p>
        </w:tc>
        <w:tc>
          <w:tcPr>
            <w:tcW w:w="826"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5600CBD1"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 500</w:t>
            </w:r>
          </w:p>
        </w:tc>
        <w:tc>
          <w:tcPr>
            <w:tcW w:w="86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797F58D"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30.000</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BB42041"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30.000</w:t>
            </w:r>
          </w:p>
        </w:tc>
        <w:tc>
          <w:tcPr>
            <w:tcW w:w="137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846252B"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R$ 1,00</w:t>
            </w:r>
          </w:p>
        </w:tc>
        <w:tc>
          <w:tcPr>
            <w:tcW w:w="131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660CCE5E" w14:textId="77777777" w:rsidR="00EF2BC0" w:rsidRDefault="00EF2BC0" w:rsidP="00646D63">
            <w:pPr>
              <w:jc w:val="center"/>
              <w:rPr>
                <w:rFonts w:ascii="Calibri" w:hAnsi="Calibri" w:cs="Calibri"/>
                <w:color w:val="000000"/>
                <w:sz w:val="18"/>
                <w:szCs w:val="18"/>
              </w:rPr>
            </w:pPr>
            <w:r>
              <w:rPr>
                <w:rFonts w:ascii="Calibri" w:hAnsi="Calibri" w:cs="Calibri"/>
                <w:color w:val="000000"/>
                <w:sz w:val="18"/>
                <w:szCs w:val="18"/>
              </w:rPr>
              <w:t>R$ 30.000,00</w:t>
            </w:r>
          </w:p>
        </w:tc>
      </w:tr>
      <w:tr w:rsidR="00EF2BC0" w14:paraId="55DEB4AF" w14:textId="77777777" w:rsidTr="00646D63">
        <w:trPr>
          <w:jc w:val="center"/>
        </w:trPr>
        <w:tc>
          <w:tcPr>
            <w:tcW w:w="9294" w:type="dxa"/>
            <w:gridSpan w:val="8"/>
            <w:tcBorders>
              <w:top w:val="single" w:sz="2" w:space="0" w:color="000000"/>
              <w:left w:val="single" w:sz="2" w:space="0" w:color="000000"/>
              <w:bottom w:val="single" w:sz="2" w:space="0" w:color="000000"/>
              <w:right w:val="single" w:sz="2" w:space="0" w:color="000000"/>
            </w:tcBorders>
            <w:shd w:val="clear" w:color="auto" w:fill="A6A6A6"/>
            <w:tcMar>
              <w:top w:w="0" w:type="dxa"/>
              <w:left w:w="108" w:type="dxa"/>
              <w:bottom w:w="0" w:type="dxa"/>
              <w:right w:w="108" w:type="dxa"/>
            </w:tcMar>
            <w:vAlign w:val="center"/>
          </w:tcPr>
          <w:p w14:paraId="3ABE7F64" w14:textId="77777777" w:rsidR="00EF2BC0" w:rsidRDefault="00EF2BC0" w:rsidP="00646D63">
            <w:pPr>
              <w:pStyle w:val="Standard"/>
              <w:snapToGrid w:val="0"/>
              <w:jc w:val="center"/>
              <w:rPr>
                <w:rFonts w:ascii="Calibri" w:hAnsi="Calibri" w:cs="Calibri"/>
                <w:b/>
                <w:color w:val="000000"/>
                <w:sz w:val="18"/>
                <w:szCs w:val="20"/>
                <w:shd w:val="clear" w:color="auto" w:fill="FFFF00"/>
              </w:rPr>
            </w:pPr>
          </w:p>
          <w:p w14:paraId="3929FA5E" w14:textId="77777777" w:rsidR="00EF2BC0" w:rsidRDefault="00EF2BC0" w:rsidP="00646D63">
            <w:pPr>
              <w:pStyle w:val="Standard"/>
              <w:jc w:val="center"/>
              <w:rPr>
                <w:rFonts w:ascii="Calibri" w:hAnsi="Calibri" w:cs="Calibri"/>
                <w:b/>
                <w:color w:val="000000"/>
                <w:sz w:val="18"/>
                <w:szCs w:val="20"/>
              </w:rPr>
            </w:pPr>
            <w:r>
              <w:rPr>
                <w:rFonts w:ascii="Calibri" w:hAnsi="Calibri" w:cs="Calibri"/>
                <w:b/>
                <w:color w:val="000000"/>
                <w:sz w:val="18"/>
                <w:szCs w:val="20"/>
              </w:rPr>
              <w:t>VALOR TOTAL (OITOCENTOS E NOVENTA E CINCO MIL REAIS)</w:t>
            </w:r>
          </w:p>
          <w:p w14:paraId="1A76B63A" w14:textId="77777777" w:rsidR="00EF2BC0" w:rsidRDefault="00EF2BC0" w:rsidP="00646D63">
            <w:pPr>
              <w:pStyle w:val="Standard"/>
              <w:jc w:val="center"/>
              <w:rPr>
                <w:rFonts w:ascii="Calibri" w:hAnsi="Calibri" w:cs="Calibri"/>
                <w:b/>
                <w:color w:val="000000"/>
                <w:sz w:val="18"/>
                <w:szCs w:val="20"/>
              </w:rPr>
            </w:pPr>
          </w:p>
        </w:tc>
        <w:tc>
          <w:tcPr>
            <w:tcW w:w="1312" w:type="dxa"/>
            <w:tcBorders>
              <w:top w:val="single" w:sz="2" w:space="0" w:color="000000"/>
              <w:left w:val="single" w:sz="2" w:space="0" w:color="000000"/>
              <w:bottom w:val="single" w:sz="2" w:space="0" w:color="000000"/>
              <w:right w:val="single" w:sz="2" w:space="0" w:color="000000"/>
            </w:tcBorders>
            <w:shd w:val="clear" w:color="auto" w:fill="A6A6A6"/>
            <w:tcMar>
              <w:top w:w="0" w:type="dxa"/>
              <w:left w:w="108" w:type="dxa"/>
              <w:bottom w:w="0" w:type="dxa"/>
              <w:right w:w="108" w:type="dxa"/>
            </w:tcMar>
            <w:vAlign w:val="center"/>
          </w:tcPr>
          <w:p w14:paraId="57398CE3" w14:textId="77777777" w:rsidR="00EF2BC0" w:rsidRDefault="00EF2BC0" w:rsidP="00646D63">
            <w:pPr>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R$ 895.000,00</w:t>
            </w:r>
          </w:p>
        </w:tc>
      </w:tr>
    </w:tbl>
    <w:p w14:paraId="4C5E0D55" w14:textId="77777777" w:rsidR="008F76F3" w:rsidRPr="00276DA5" w:rsidRDefault="008F76F3" w:rsidP="008F76F3">
      <w:pPr>
        <w:pStyle w:val="Standard"/>
        <w:spacing w:after="120" w:line="276" w:lineRule="auto"/>
        <w:jc w:val="both"/>
        <w:rPr>
          <w:rFonts w:hint="eastAsia"/>
          <w:sz w:val="22"/>
        </w:rPr>
      </w:pPr>
      <w:r w:rsidRPr="00276DA5">
        <w:rPr>
          <w:rFonts w:ascii="Calibri" w:hAnsi="Calibri" w:cs="Calibri"/>
          <w:b/>
          <w:color w:val="000000"/>
          <w:sz w:val="22"/>
        </w:rPr>
        <w:t>*Requisição mínima e máxima por cada pedido feito à empresa vencedora em cada item. O quantitativo deve ser considerado como valor mínimo em reais (R$) por pedido/requisição.</w:t>
      </w:r>
    </w:p>
    <w:p w14:paraId="2271FCF9" w14:textId="55975A16" w:rsidR="008F76F3" w:rsidRDefault="008F76F3" w:rsidP="008F76F3">
      <w:pPr>
        <w:pStyle w:val="Standard"/>
        <w:spacing w:after="120" w:line="276" w:lineRule="auto"/>
        <w:jc w:val="both"/>
        <w:rPr>
          <w:rFonts w:ascii="Calibri" w:hAnsi="Calibri" w:cs="Calibri"/>
          <w:b/>
          <w:color w:val="000000"/>
          <w:sz w:val="22"/>
        </w:rPr>
      </w:pPr>
      <w:r w:rsidRPr="00276DA5">
        <w:rPr>
          <w:rFonts w:ascii="Calibri" w:hAnsi="Calibri" w:cs="Calibri"/>
          <w:b/>
          <w:color w:val="000000"/>
          <w:sz w:val="22"/>
        </w:rPr>
        <w:t>*O DESCONTO MÍNIMO ofertado será de 1(um)% sobre a TABELA SINAPI (conforme modelo anexo)</w:t>
      </w:r>
      <w:r>
        <w:rPr>
          <w:rFonts w:ascii="Calibri" w:hAnsi="Calibri" w:cs="Calibri"/>
          <w:b/>
          <w:color w:val="000000"/>
          <w:sz w:val="22"/>
        </w:rPr>
        <w:t>.</w:t>
      </w:r>
    </w:p>
    <w:p w14:paraId="2A67F31B" w14:textId="45FC392F" w:rsidR="00D57CE7" w:rsidRDefault="00D57CE7" w:rsidP="008F76F3">
      <w:pPr>
        <w:pStyle w:val="Standard"/>
        <w:spacing w:after="120" w:line="276" w:lineRule="auto"/>
        <w:jc w:val="both"/>
        <w:rPr>
          <w:rFonts w:ascii="Calibri" w:hAnsi="Calibri" w:cs="Calibri"/>
          <w:b/>
          <w:color w:val="000000"/>
          <w:sz w:val="22"/>
        </w:rPr>
      </w:pPr>
      <w:r>
        <w:rPr>
          <w:rFonts w:ascii="Calibri" w:hAnsi="Calibri" w:cs="Calibri"/>
          <w:b/>
          <w:color w:val="000000"/>
          <w:sz w:val="22"/>
        </w:rPr>
        <w:t>*O desconto ofertado será aplicado no</w:t>
      </w:r>
      <w:r w:rsidR="00E33333">
        <w:rPr>
          <w:rFonts w:ascii="Calibri" w:hAnsi="Calibri" w:cs="Calibri"/>
          <w:b/>
          <w:color w:val="000000"/>
          <w:sz w:val="22"/>
        </w:rPr>
        <w:t>s</w:t>
      </w:r>
      <w:r>
        <w:rPr>
          <w:rFonts w:ascii="Calibri" w:hAnsi="Calibri" w:cs="Calibri"/>
          <w:b/>
          <w:color w:val="000000"/>
          <w:sz w:val="22"/>
        </w:rPr>
        <w:t xml:space="preserve"> ite</w:t>
      </w:r>
      <w:r w:rsidR="00E33333">
        <w:rPr>
          <w:rFonts w:ascii="Calibri" w:hAnsi="Calibri" w:cs="Calibri"/>
          <w:b/>
          <w:color w:val="000000"/>
          <w:sz w:val="22"/>
        </w:rPr>
        <w:t>ns</w:t>
      </w:r>
      <w:r w:rsidR="00427079">
        <w:rPr>
          <w:rFonts w:ascii="Calibri" w:hAnsi="Calibri" w:cs="Calibri"/>
          <w:b/>
          <w:color w:val="000000"/>
          <w:sz w:val="22"/>
        </w:rPr>
        <w:t xml:space="preserve"> d</w:t>
      </w:r>
      <w:r>
        <w:rPr>
          <w:rFonts w:ascii="Calibri" w:hAnsi="Calibri" w:cs="Calibri"/>
          <w:b/>
          <w:color w:val="000000"/>
          <w:sz w:val="22"/>
        </w:rPr>
        <w:t xml:space="preserve">a tabela SINAP </w:t>
      </w:r>
      <w:r w:rsidR="00F27B90">
        <w:rPr>
          <w:rFonts w:ascii="Calibri" w:hAnsi="Calibri" w:cs="Calibri"/>
          <w:b/>
          <w:color w:val="000000"/>
          <w:sz w:val="22"/>
        </w:rPr>
        <w:t>mais atualizada</w:t>
      </w:r>
      <w:r>
        <w:rPr>
          <w:rFonts w:ascii="Calibri" w:hAnsi="Calibri" w:cs="Calibri"/>
          <w:b/>
          <w:color w:val="000000"/>
          <w:sz w:val="22"/>
        </w:rPr>
        <w:t>, para a aquisiç</w:t>
      </w:r>
      <w:r w:rsidR="00427079">
        <w:rPr>
          <w:rFonts w:ascii="Calibri" w:hAnsi="Calibri" w:cs="Calibri"/>
          <w:b/>
          <w:color w:val="000000"/>
          <w:sz w:val="22"/>
        </w:rPr>
        <w:t>ões de itens</w:t>
      </w:r>
      <w:r>
        <w:rPr>
          <w:rFonts w:ascii="Calibri" w:hAnsi="Calibri" w:cs="Calibri"/>
          <w:b/>
          <w:color w:val="000000"/>
          <w:sz w:val="22"/>
        </w:rPr>
        <w:t xml:space="preserve"> conforme a natureza </w:t>
      </w:r>
      <w:r w:rsidR="00E33333">
        <w:rPr>
          <w:rFonts w:ascii="Calibri" w:hAnsi="Calibri" w:cs="Calibri"/>
          <w:b/>
          <w:color w:val="000000"/>
          <w:sz w:val="22"/>
        </w:rPr>
        <w:t xml:space="preserve">de cada item </w:t>
      </w:r>
      <w:r>
        <w:rPr>
          <w:rFonts w:ascii="Calibri" w:hAnsi="Calibri" w:cs="Calibri"/>
          <w:b/>
          <w:color w:val="000000"/>
          <w:sz w:val="22"/>
        </w:rPr>
        <w:t>deste objeto.</w:t>
      </w:r>
    </w:p>
    <w:p w14:paraId="4AF43B32" w14:textId="18A459F9" w:rsidR="00F27B90" w:rsidRDefault="00F27B90" w:rsidP="008F76F3">
      <w:pPr>
        <w:pStyle w:val="Standard"/>
        <w:spacing w:after="120" w:line="276" w:lineRule="auto"/>
        <w:jc w:val="both"/>
        <w:rPr>
          <w:rFonts w:ascii="Calibri" w:hAnsi="Calibri" w:cs="Calibri"/>
          <w:b/>
          <w:color w:val="000000"/>
          <w:sz w:val="22"/>
        </w:rPr>
      </w:pPr>
      <w:r>
        <w:rPr>
          <w:rFonts w:ascii="Calibri" w:hAnsi="Calibri" w:cs="Calibri"/>
          <w:b/>
          <w:color w:val="000000"/>
          <w:sz w:val="22"/>
        </w:rPr>
        <w:t>*a tabela atualizada pode ser encontrada no site</w:t>
      </w:r>
      <w:r w:rsidR="007A16F8">
        <w:rPr>
          <w:rFonts w:ascii="Calibri" w:hAnsi="Calibri" w:cs="Calibri"/>
          <w:b/>
          <w:color w:val="000000"/>
          <w:sz w:val="22"/>
        </w:rPr>
        <w:t>:</w:t>
      </w:r>
      <w:r>
        <w:rPr>
          <w:rFonts w:ascii="Calibri" w:hAnsi="Calibri" w:cs="Calibri"/>
          <w:b/>
          <w:color w:val="000000"/>
          <w:sz w:val="22"/>
        </w:rPr>
        <w:t xml:space="preserve"> </w:t>
      </w:r>
      <w:r w:rsidRPr="00F27B90">
        <w:rPr>
          <w:rFonts w:ascii="Calibri" w:hAnsi="Calibri" w:cs="Calibri"/>
          <w:b/>
          <w:color w:val="000000"/>
          <w:sz w:val="22"/>
        </w:rPr>
        <w:t>https://www.caixa.gov.br/site/Paginas/downloads.aspx#categoria_640</w:t>
      </w:r>
      <w:r>
        <w:rPr>
          <w:rFonts w:ascii="Calibri" w:hAnsi="Calibri" w:cs="Calibri"/>
          <w:b/>
          <w:color w:val="000000"/>
          <w:sz w:val="22"/>
        </w:rPr>
        <w:t xml:space="preserve"> </w:t>
      </w:r>
      <w:r w:rsidR="00344EFF">
        <w:rPr>
          <w:rFonts w:ascii="Calibri" w:hAnsi="Calibri" w:cs="Calibri"/>
          <w:b/>
          <w:color w:val="000000"/>
          <w:sz w:val="22"/>
        </w:rPr>
        <w:t>. Nesta página, deve</w:t>
      </w:r>
      <w:r w:rsidR="00DD6388">
        <w:rPr>
          <w:rFonts w:ascii="Calibri" w:hAnsi="Calibri" w:cs="Calibri"/>
          <w:b/>
          <w:color w:val="000000"/>
          <w:sz w:val="22"/>
        </w:rPr>
        <w:t>-se</w:t>
      </w:r>
      <w:r w:rsidR="00344EFF">
        <w:rPr>
          <w:rFonts w:ascii="Calibri" w:hAnsi="Calibri" w:cs="Calibri"/>
          <w:b/>
          <w:color w:val="000000"/>
          <w:sz w:val="22"/>
        </w:rPr>
        <w:t xml:space="preserve"> clicar no arquivo </w:t>
      </w:r>
      <w:hyperlink r:id="rId12" w:tooltip="Clique para realizar o download do documento SINAPI_ref_Insumos_Composicoes_AM_202410_NaoDesonerado" w:history="1">
        <w:r w:rsidR="00344EFF" w:rsidRPr="00344EFF">
          <w:rPr>
            <w:rFonts w:ascii="Calibri" w:hAnsi="Calibri" w:cs="Calibri"/>
            <w:b/>
            <w:color w:val="000000"/>
            <w:sz w:val="22"/>
          </w:rPr>
          <w:t>SINAPI_ref_Insumos_Composicoes_AM__NaoDesonerado</w:t>
        </w:r>
      </w:hyperlink>
      <w:r w:rsidR="00344EFF" w:rsidRPr="00344EFF">
        <w:rPr>
          <w:rFonts w:ascii="Calibri" w:hAnsi="Calibri" w:cs="Calibri"/>
          <w:b/>
          <w:color w:val="000000"/>
          <w:sz w:val="22"/>
        </w:rPr>
        <w:t xml:space="preserve">, e será </w:t>
      </w:r>
      <w:r w:rsidR="00DD6388">
        <w:rPr>
          <w:rFonts w:ascii="Calibri" w:hAnsi="Calibri" w:cs="Calibri"/>
          <w:b/>
          <w:color w:val="000000"/>
          <w:sz w:val="22"/>
        </w:rPr>
        <w:t>selecionada a tabela mais atual (mês/ano).</w:t>
      </w:r>
    </w:p>
    <w:p w14:paraId="17DC434B" w14:textId="77777777" w:rsidR="003F7623" w:rsidRDefault="003F7623" w:rsidP="008F76F3">
      <w:pPr>
        <w:pStyle w:val="Standard"/>
        <w:spacing w:after="120" w:line="276" w:lineRule="auto"/>
        <w:jc w:val="both"/>
        <w:rPr>
          <w:rFonts w:ascii="Calibri" w:hAnsi="Calibri" w:cs="Calibri"/>
          <w:b/>
          <w:color w:val="000000"/>
          <w:sz w:val="22"/>
        </w:rPr>
      </w:pPr>
    </w:p>
    <w:p w14:paraId="5576E8E9" w14:textId="1C4BEA0F" w:rsidR="00F31060" w:rsidRDefault="00F31060" w:rsidP="00A57B97">
      <w:pPr>
        <w:pStyle w:val="Nivel2"/>
        <w:numPr>
          <w:ilvl w:val="1"/>
          <w:numId w:val="1"/>
        </w:numPr>
        <w:ind w:left="426"/>
      </w:pPr>
      <w:commentRangeStart w:id="0"/>
      <w:r w:rsidRPr="0020168A">
        <w:t>Os bens objeto desta contratação são caracterizados como comuns, conforme justificativa constante do Estudo Técnico Preliminar.</w:t>
      </w:r>
      <w:commentRangeEnd w:id="0"/>
      <w:r w:rsidRPr="0020168A">
        <w:rPr>
          <w:rStyle w:val="Refdecomentrio"/>
          <w:color w:val="auto"/>
        </w:rPr>
        <w:commentReference w:id="0"/>
      </w:r>
    </w:p>
    <w:p w14:paraId="4DD20969" w14:textId="77777777" w:rsidR="00F31060" w:rsidRPr="0020168A" w:rsidRDefault="00F31060" w:rsidP="00A57B97">
      <w:pPr>
        <w:pStyle w:val="Nivel2"/>
        <w:numPr>
          <w:ilvl w:val="1"/>
          <w:numId w:val="1"/>
        </w:numPr>
        <w:ind w:left="0" w:firstLine="0"/>
      </w:pPr>
      <w:commentRangeStart w:id="1"/>
      <w:r w:rsidRPr="0020168A">
        <w:t>O objeto desta contratação não se enquadra como sendo de bem de luxo, conforme Decreto nº 10.818, de 27 de setembro de 2021.</w:t>
      </w:r>
      <w:commentRangeEnd w:id="1"/>
      <w:r w:rsidRPr="0020168A">
        <w:rPr>
          <w:rStyle w:val="Refdecomentrio"/>
          <w:color w:val="auto"/>
        </w:rPr>
        <w:commentReference w:id="1"/>
      </w:r>
    </w:p>
    <w:p w14:paraId="0DBFE806" w14:textId="77777777" w:rsidR="00F31060" w:rsidRPr="00F31060" w:rsidRDefault="00F31060" w:rsidP="00A57B97">
      <w:pPr>
        <w:pStyle w:val="Nvel2-Red"/>
        <w:numPr>
          <w:ilvl w:val="1"/>
          <w:numId w:val="1"/>
        </w:numPr>
        <w:ind w:left="0" w:firstLine="0"/>
        <w:rPr>
          <w:color w:val="000000" w:themeColor="text1"/>
        </w:rPr>
      </w:pPr>
      <w:r w:rsidRPr="00F31060">
        <w:rPr>
          <w:color w:val="000000" w:themeColor="text1"/>
        </w:rPr>
        <w:t>O prazo de vigência da contratação é de</w:t>
      </w:r>
      <w:r>
        <w:rPr>
          <w:color w:val="000000" w:themeColor="text1"/>
        </w:rPr>
        <w:t xml:space="preserve"> 12 (doze) meses</w:t>
      </w:r>
      <w:r w:rsidRPr="00F31060">
        <w:rPr>
          <w:color w:val="000000" w:themeColor="text1"/>
        </w:rPr>
        <w:t xml:space="preserve"> contados do(a)</w:t>
      </w:r>
      <w:r>
        <w:rPr>
          <w:color w:val="000000" w:themeColor="text1"/>
        </w:rPr>
        <w:t xml:space="preserve"> assinatura da ata</w:t>
      </w:r>
      <w:r w:rsidRPr="00F31060">
        <w:rPr>
          <w:color w:val="000000" w:themeColor="text1"/>
        </w:rPr>
        <w:t>, na forma do artigo 105 da Lei n° 14.133, de 2021.</w:t>
      </w:r>
    </w:p>
    <w:p w14:paraId="09E3DCA4" w14:textId="77777777" w:rsidR="00F31060" w:rsidRPr="0020168A" w:rsidRDefault="00F31060" w:rsidP="00A57B97">
      <w:pPr>
        <w:pStyle w:val="Nivel2"/>
        <w:numPr>
          <w:ilvl w:val="1"/>
          <w:numId w:val="1"/>
        </w:numPr>
        <w:ind w:left="0" w:firstLine="0"/>
      </w:pPr>
      <w:r>
        <w:t>O contrato oferece maior detalhamento das regras que serão aplicadas em relação à vigência da contratação.</w:t>
      </w:r>
    </w:p>
    <w:p w14:paraId="05943A07" w14:textId="77777777" w:rsidR="00F76A09" w:rsidRPr="00237AA8" w:rsidRDefault="00F76A09" w:rsidP="00F76A09">
      <w:pPr>
        <w:pStyle w:val="Nivel2"/>
        <w:spacing w:line="312" w:lineRule="auto"/>
        <w:ind w:left="709"/>
        <w:rPr>
          <w:rFonts w:asciiTheme="majorHAnsi" w:hAnsiTheme="majorHAnsi" w:cstheme="majorHAnsi"/>
          <w:sz w:val="22"/>
          <w:szCs w:val="22"/>
        </w:rPr>
      </w:pPr>
    </w:p>
    <w:p w14:paraId="2282C5BC" w14:textId="77777777" w:rsidR="003F2EEF" w:rsidRPr="00237AA8" w:rsidRDefault="006F1B16" w:rsidP="001B3853">
      <w:pPr>
        <w:pStyle w:val="Nivel01"/>
        <w:numPr>
          <w:ilvl w:val="0"/>
          <w:numId w:val="1"/>
        </w:numPr>
        <w:spacing w:before="120" w:after="120" w:line="312" w:lineRule="auto"/>
        <w:ind w:left="0" w:firstLine="0"/>
        <w:rPr>
          <w:rFonts w:asciiTheme="majorHAnsi" w:hAnsiTheme="majorHAnsi" w:cstheme="majorHAnsi"/>
          <w:sz w:val="22"/>
          <w:szCs w:val="22"/>
        </w:rPr>
      </w:pPr>
      <w:r w:rsidRPr="00237AA8">
        <w:rPr>
          <w:rFonts w:asciiTheme="majorHAnsi" w:hAnsiTheme="majorHAnsi" w:cstheme="majorHAnsi"/>
          <w:sz w:val="22"/>
          <w:szCs w:val="22"/>
        </w:rPr>
        <w:lastRenderedPageBreak/>
        <w:t>FUNDAMENTAÇÃO E DESCRIÇÃO DA NECESSIDADE DA CONTRATAÇÃO</w:t>
      </w:r>
    </w:p>
    <w:p w14:paraId="0DE870B3" w14:textId="77777777" w:rsidR="003F2EEF" w:rsidRPr="00237AA8" w:rsidRDefault="006F1B16" w:rsidP="001B3853">
      <w:pPr>
        <w:pStyle w:val="Nivel2"/>
        <w:numPr>
          <w:ilvl w:val="1"/>
          <w:numId w:val="1"/>
        </w:numPr>
        <w:tabs>
          <w:tab w:val="left" w:pos="1418"/>
        </w:tabs>
        <w:spacing w:line="312" w:lineRule="auto"/>
        <w:ind w:left="0" w:firstLine="709"/>
        <w:rPr>
          <w:rFonts w:asciiTheme="majorHAnsi" w:hAnsiTheme="majorHAnsi" w:cstheme="majorHAnsi"/>
          <w:sz w:val="22"/>
          <w:szCs w:val="22"/>
        </w:rPr>
      </w:pPr>
      <w:r w:rsidRPr="00237AA8">
        <w:rPr>
          <w:rFonts w:asciiTheme="majorHAnsi" w:hAnsiTheme="majorHAnsi" w:cstheme="majorHAnsi"/>
          <w:sz w:val="22"/>
          <w:szCs w:val="22"/>
        </w:rPr>
        <w:t>A Fundamentação da Contratação e de seus quantitativos encontra-se pormenorizada em Tópico específico dos Estudos Técnicos Preliminares, apêndice deste Termo de Referência.</w:t>
      </w:r>
    </w:p>
    <w:p w14:paraId="6CC702B8" w14:textId="77777777" w:rsidR="00704A1C" w:rsidRPr="00704A1C" w:rsidRDefault="00704A1C" w:rsidP="00783D15">
      <w:pPr>
        <w:pStyle w:val="Nvel2-Red"/>
        <w:numPr>
          <w:ilvl w:val="1"/>
          <w:numId w:val="1"/>
        </w:numPr>
        <w:ind w:left="0" w:firstLine="709"/>
        <w:rPr>
          <w:color w:val="000000" w:themeColor="text1"/>
        </w:rPr>
      </w:pPr>
      <w:r w:rsidRPr="00704A1C">
        <w:rPr>
          <w:color w:val="000000" w:themeColor="text1"/>
        </w:rPr>
        <w:t xml:space="preserve">O objeto da contratação está previsto no Plano de Contratações Anual </w:t>
      </w:r>
      <w:r>
        <w:rPr>
          <w:color w:val="000000" w:themeColor="text1"/>
        </w:rPr>
        <w:t>2024</w:t>
      </w:r>
      <w:r w:rsidRPr="00704A1C">
        <w:rPr>
          <w:color w:val="000000" w:themeColor="text1"/>
        </w:rPr>
        <w:t>, conforme consta das informações básicas desse termo de referência.</w:t>
      </w:r>
    </w:p>
    <w:p w14:paraId="29C04328" w14:textId="77777777" w:rsidR="00704A1C" w:rsidRPr="005605A9" w:rsidRDefault="00704A1C" w:rsidP="00704A1C">
      <w:pPr>
        <w:pStyle w:val="Nvel2-Red"/>
        <w:rPr>
          <w:strike/>
        </w:rPr>
      </w:pPr>
    </w:p>
    <w:p w14:paraId="4FDD282D" w14:textId="77777777" w:rsidR="003F2EEF" w:rsidRPr="00237AA8" w:rsidRDefault="006F1B16" w:rsidP="001B3853">
      <w:pPr>
        <w:pStyle w:val="Nivel01"/>
        <w:numPr>
          <w:ilvl w:val="0"/>
          <w:numId w:val="1"/>
        </w:numPr>
        <w:spacing w:before="120" w:after="120" w:line="312" w:lineRule="auto"/>
        <w:ind w:left="0" w:firstLine="0"/>
        <w:rPr>
          <w:rFonts w:asciiTheme="majorHAnsi" w:hAnsiTheme="majorHAnsi" w:cstheme="majorHAnsi"/>
          <w:sz w:val="22"/>
          <w:szCs w:val="22"/>
        </w:rPr>
      </w:pPr>
      <w:r w:rsidRPr="00237AA8">
        <w:rPr>
          <w:rFonts w:asciiTheme="majorHAnsi" w:hAnsiTheme="majorHAnsi" w:cstheme="majorHAnsi"/>
          <w:sz w:val="22"/>
          <w:szCs w:val="22"/>
        </w:rPr>
        <w:t>DESCRIÇÃO DA SOLUÇÃO COMO UM TODO CONSIDERADO O CICLO DE VIDA DO OBJETO E ESPECIFICAÇÃO DO PRODUTO</w:t>
      </w:r>
    </w:p>
    <w:p w14:paraId="725B2D99" w14:textId="0FA88CC4" w:rsidR="003F2EEF" w:rsidRPr="00EC5483" w:rsidRDefault="006F1B16" w:rsidP="00EC5483">
      <w:pPr>
        <w:pStyle w:val="Nvel2-Red"/>
        <w:numPr>
          <w:ilvl w:val="1"/>
          <w:numId w:val="1"/>
        </w:numPr>
        <w:tabs>
          <w:tab w:val="left" w:pos="1276"/>
        </w:tabs>
        <w:spacing w:line="312" w:lineRule="auto"/>
        <w:ind w:left="0" w:firstLine="709"/>
        <w:rPr>
          <w:rFonts w:asciiTheme="majorHAnsi" w:hAnsiTheme="majorHAnsi" w:cstheme="majorHAnsi"/>
          <w:sz w:val="22"/>
          <w:szCs w:val="22"/>
        </w:rPr>
      </w:pPr>
      <w:r w:rsidRPr="00237AA8">
        <w:rPr>
          <w:rFonts w:asciiTheme="majorHAnsi" w:hAnsiTheme="majorHAnsi" w:cstheme="majorHAnsi"/>
          <w:color w:val="000000"/>
          <w:sz w:val="22"/>
          <w:szCs w:val="22"/>
        </w:rPr>
        <w:t xml:space="preserve">A descrição da solução como um todo encontra-se pormenorizada em tópico específico dos </w:t>
      </w:r>
      <w:r w:rsidRPr="00237AA8">
        <w:rPr>
          <w:rFonts w:asciiTheme="majorHAnsi" w:hAnsiTheme="majorHAnsi" w:cstheme="majorHAnsi"/>
          <w:b/>
          <w:color w:val="000000"/>
          <w:sz w:val="22"/>
          <w:szCs w:val="22"/>
        </w:rPr>
        <w:t>Estudos Técnicos Preliminares</w:t>
      </w:r>
      <w:r w:rsidRPr="00237AA8">
        <w:rPr>
          <w:rFonts w:asciiTheme="majorHAnsi" w:hAnsiTheme="majorHAnsi" w:cstheme="majorHAnsi"/>
          <w:color w:val="000000"/>
          <w:sz w:val="22"/>
          <w:szCs w:val="22"/>
        </w:rPr>
        <w:t>, apêndice deste Termo de Referência.</w:t>
      </w:r>
    </w:p>
    <w:p w14:paraId="502CE5C3" w14:textId="77777777" w:rsidR="00EC5483" w:rsidRPr="00237AA8" w:rsidRDefault="00EC5483" w:rsidP="00EC5483">
      <w:pPr>
        <w:pStyle w:val="Nvel2-Red"/>
        <w:tabs>
          <w:tab w:val="left" w:pos="1276"/>
        </w:tabs>
        <w:spacing w:line="312" w:lineRule="auto"/>
        <w:ind w:left="709"/>
        <w:rPr>
          <w:rFonts w:asciiTheme="majorHAnsi" w:hAnsiTheme="majorHAnsi" w:cstheme="majorHAnsi"/>
          <w:sz w:val="22"/>
          <w:szCs w:val="22"/>
        </w:rPr>
      </w:pPr>
    </w:p>
    <w:p w14:paraId="2EF12BF6" w14:textId="77777777" w:rsidR="003F2EEF" w:rsidRPr="00237AA8" w:rsidRDefault="006F1B16" w:rsidP="001B3853">
      <w:pPr>
        <w:pStyle w:val="Nivel01"/>
        <w:numPr>
          <w:ilvl w:val="0"/>
          <w:numId w:val="1"/>
        </w:numPr>
        <w:spacing w:before="120" w:after="120" w:line="312" w:lineRule="auto"/>
        <w:rPr>
          <w:rFonts w:asciiTheme="majorHAnsi" w:hAnsiTheme="majorHAnsi" w:cstheme="majorHAnsi"/>
          <w:sz w:val="22"/>
          <w:szCs w:val="22"/>
        </w:rPr>
      </w:pPr>
      <w:r w:rsidRPr="00237AA8">
        <w:rPr>
          <w:rFonts w:asciiTheme="majorHAnsi" w:hAnsiTheme="majorHAnsi" w:cstheme="majorHAnsi"/>
          <w:sz w:val="22"/>
          <w:szCs w:val="22"/>
        </w:rPr>
        <w:t>REQUISITOS DA CONTRATAÇÃO</w:t>
      </w:r>
    </w:p>
    <w:p w14:paraId="75304D10" w14:textId="77777777" w:rsidR="003F2EEF" w:rsidRPr="00237AA8" w:rsidRDefault="006F1B16" w:rsidP="00EC5483">
      <w:pPr>
        <w:pStyle w:val="Nvel3-R"/>
        <w:spacing w:line="312" w:lineRule="auto"/>
        <w:ind w:left="357"/>
        <w:rPr>
          <w:rFonts w:asciiTheme="majorHAnsi" w:hAnsiTheme="majorHAnsi" w:cstheme="majorHAnsi"/>
          <w:b/>
          <w:bCs/>
          <w:sz w:val="22"/>
          <w:szCs w:val="22"/>
        </w:rPr>
      </w:pPr>
      <w:r w:rsidRPr="00237AA8">
        <w:rPr>
          <w:rFonts w:asciiTheme="majorHAnsi" w:hAnsiTheme="majorHAnsi" w:cstheme="majorHAnsi"/>
          <w:b/>
          <w:bCs/>
          <w:color w:val="000000"/>
          <w:sz w:val="22"/>
          <w:szCs w:val="22"/>
        </w:rPr>
        <w:t>Sustentabilidade:</w:t>
      </w:r>
    </w:p>
    <w:p w14:paraId="590950B4" w14:textId="77777777" w:rsidR="003F2EEF" w:rsidRPr="00237AA8" w:rsidRDefault="006F1B16" w:rsidP="00EC5483">
      <w:pPr>
        <w:pStyle w:val="Nivel2"/>
        <w:numPr>
          <w:ilvl w:val="1"/>
          <w:numId w:val="1"/>
        </w:numPr>
        <w:spacing w:line="312" w:lineRule="auto"/>
        <w:ind w:left="0" w:firstLine="709"/>
        <w:rPr>
          <w:rFonts w:asciiTheme="majorHAnsi" w:hAnsiTheme="majorHAnsi" w:cstheme="majorHAnsi"/>
          <w:b/>
          <w:bCs/>
          <w:i/>
          <w:iCs/>
          <w:color w:val="FF0000"/>
          <w:sz w:val="22"/>
          <w:szCs w:val="22"/>
          <w:highlight w:val="white"/>
        </w:rPr>
      </w:pPr>
      <w:r w:rsidRPr="00237AA8">
        <w:rPr>
          <w:rFonts w:asciiTheme="majorHAnsi" w:hAnsiTheme="majorHAnsi" w:cstheme="majorHAnsi"/>
          <w:i/>
          <w:iCs/>
          <w:sz w:val="22"/>
          <w:szCs w:val="22"/>
        </w:rPr>
        <w:t xml:space="preserve">Além dos critérios de sustentabilidade eventualmente inseridos na descrição do objeto, devem ser atendidos os seguintes requisitos, que se baseiam no </w:t>
      </w:r>
      <w:r w:rsidRPr="00237AA8">
        <w:rPr>
          <w:rFonts w:asciiTheme="majorHAnsi" w:hAnsiTheme="majorHAnsi" w:cstheme="majorHAnsi"/>
          <w:b/>
          <w:bCs/>
          <w:i/>
          <w:iCs/>
          <w:sz w:val="22"/>
          <w:szCs w:val="22"/>
        </w:rPr>
        <w:t>Guia Nacional de Contratações Sustentáveis:</w:t>
      </w:r>
    </w:p>
    <w:p w14:paraId="69C4AC12" w14:textId="77777777" w:rsidR="006F716D" w:rsidRDefault="006F1B16" w:rsidP="00592E1A">
      <w:pPr>
        <w:pStyle w:val="Nvel3-R"/>
        <w:tabs>
          <w:tab w:val="left" w:pos="1843"/>
        </w:tabs>
        <w:spacing w:line="312" w:lineRule="auto"/>
        <w:ind w:left="993"/>
        <w:rPr>
          <w:rFonts w:asciiTheme="majorHAnsi" w:hAnsiTheme="majorHAnsi" w:cstheme="majorHAnsi"/>
          <w:strike/>
          <w:color w:val="000000"/>
          <w:sz w:val="22"/>
          <w:szCs w:val="22"/>
        </w:rPr>
      </w:pPr>
      <w:r w:rsidRPr="00EC5483">
        <w:rPr>
          <w:rFonts w:asciiTheme="majorHAnsi" w:hAnsiTheme="majorHAnsi" w:cstheme="majorHAnsi"/>
          <w:b/>
          <w:color w:val="000000"/>
          <w:sz w:val="22"/>
          <w:szCs w:val="22"/>
        </w:rPr>
        <w:t>Obrigação da contratada</w:t>
      </w:r>
      <w:r w:rsidRPr="00237AA8">
        <w:rPr>
          <w:rFonts w:asciiTheme="majorHAnsi" w:hAnsiTheme="majorHAnsi" w:cstheme="majorHAnsi"/>
          <w:color w:val="000000"/>
          <w:sz w:val="22"/>
          <w:szCs w:val="22"/>
        </w:rPr>
        <w:t xml:space="preserve">: </w:t>
      </w:r>
    </w:p>
    <w:tbl>
      <w:tblPr>
        <w:tblW w:w="10309" w:type="dxa"/>
        <w:tblLayout w:type="fixed"/>
        <w:tblLook w:val="04A0" w:firstRow="1" w:lastRow="0" w:firstColumn="1" w:lastColumn="0" w:noHBand="0" w:noVBand="1"/>
      </w:tblPr>
      <w:tblGrid>
        <w:gridCol w:w="10309"/>
      </w:tblGrid>
      <w:tr w:rsidR="006F716D" w14:paraId="22069B13" w14:textId="77777777" w:rsidTr="00116D7E">
        <w:trPr>
          <w:trHeight w:val="2004"/>
        </w:trPr>
        <w:tc>
          <w:tcPr>
            <w:tcW w:w="10309" w:type="dxa"/>
          </w:tcPr>
          <w:p w14:paraId="390A181D" w14:textId="0AD1C3EC" w:rsidR="006F716D" w:rsidRPr="00592E1A" w:rsidRDefault="006F716D" w:rsidP="00592E1A">
            <w:pPr>
              <w:pStyle w:val="Default"/>
              <w:widowControl w:val="0"/>
              <w:numPr>
                <w:ilvl w:val="2"/>
                <w:numId w:val="1"/>
              </w:numPr>
              <w:ind w:left="1455" w:right="561"/>
              <w:jc w:val="both"/>
              <w:rPr>
                <w:rFonts w:ascii="Carlito" w:hAnsi="Carlito"/>
              </w:rPr>
            </w:pPr>
            <w:r>
              <w:rPr>
                <w:rFonts w:ascii="Carlito" w:hAnsi="Carlito"/>
                <w:sz w:val="20"/>
              </w:rPr>
              <w:t xml:space="preserve"> Com vistas à alocação eficiente de recursos energéticos e à preservação do meio ambiente, o Poder Executivo estabelecerá, no âmbito da Política Nacional de Conservação e Uso Racional de Energia, os níveis máximos de consumo de energia, ou mínimos de eficiência energética, para máquinas e aparelhos fabricados ou comercializados no País. Tais parâmetros serão fixados através de portaria interministerial dos Ministérios de Minas e Energia - MME, da Ciência e Tecnologia - MCT e do Desenvolvimento, Indústria e Comércio Exterior - MDIC.</w:t>
            </w:r>
          </w:p>
          <w:p w14:paraId="2C55E643" w14:textId="77777777" w:rsidR="00592E1A" w:rsidRDefault="00592E1A" w:rsidP="00592E1A">
            <w:pPr>
              <w:pStyle w:val="Default"/>
              <w:widowControl w:val="0"/>
              <w:ind w:left="1455" w:right="561"/>
              <w:jc w:val="both"/>
              <w:rPr>
                <w:rFonts w:ascii="Carlito" w:hAnsi="Carlito"/>
              </w:rPr>
            </w:pPr>
          </w:p>
          <w:p w14:paraId="534BE7C0" w14:textId="1A2BF0A1" w:rsidR="006F716D" w:rsidRDefault="006F716D" w:rsidP="00592E1A">
            <w:pPr>
              <w:pStyle w:val="Default"/>
              <w:widowControl w:val="0"/>
              <w:numPr>
                <w:ilvl w:val="2"/>
                <w:numId w:val="1"/>
              </w:numPr>
              <w:ind w:left="1455" w:right="561"/>
              <w:jc w:val="both"/>
              <w:rPr>
                <w:rFonts w:ascii="Carlito" w:hAnsi="Carlito"/>
              </w:rPr>
            </w:pPr>
            <w:r>
              <w:rPr>
                <w:rFonts w:ascii="Carlito" w:hAnsi="Carlito"/>
                <w:sz w:val="20"/>
              </w:rPr>
              <w:t>Os fabricantes e os importadores de máquinas e aparelhos consumidores de energia são obrigados a adotar as medidas necessárias para que sejam obedecidos os níveis máximos de consumo de energia e mínimos de eficiência energética, constantes da regulamentação específica estabelecida para cada tipo de produto.</w:t>
            </w:r>
          </w:p>
        </w:tc>
      </w:tr>
    </w:tbl>
    <w:p w14:paraId="7277F813" w14:textId="77777777" w:rsidR="006F716D" w:rsidRDefault="006F716D" w:rsidP="006F716D">
      <w:pPr>
        <w:pStyle w:val="Default"/>
        <w:rPr>
          <w:rFonts w:ascii="Carlito" w:hAnsi="Carlito"/>
          <w:sz w:val="20"/>
        </w:rPr>
      </w:pPr>
    </w:p>
    <w:tbl>
      <w:tblPr>
        <w:tblW w:w="10036" w:type="dxa"/>
        <w:tblLayout w:type="fixed"/>
        <w:tblLook w:val="04A0" w:firstRow="1" w:lastRow="0" w:firstColumn="1" w:lastColumn="0" w:noHBand="0" w:noVBand="1"/>
      </w:tblPr>
      <w:tblGrid>
        <w:gridCol w:w="10036"/>
      </w:tblGrid>
      <w:tr w:rsidR="006F716D" w14:paraId="020A2A1B" w14:textId="77777777" w:rsidTr="00116D7E">
        <w:trPr>
          <w:trHeight w:val="794"/>
        </w:trPr>
        <w:tc>
          <w:tcPr>
            <w:tcW w:w="10036" w:type="dxa"/>
          </w:tcPr>
          <w:p w14:paraId="05E39790" w14:textId="77777777" w:rsidR="006F716D" w:rsidRPr="00CD48D0" w:rsidRDefault="006F716D" w:rsidP="00592E1A">
            <w:pPr>
              <w:pStyle w:val="Default"/>
              <w:widowControl w:val="0"/>
              <w:numPr>
                <w:ilvl w:val="2"/>
                <w:numId w:val="1"/>
              </w:numPr>
              <w:ind w:left="1455"/>
              <w:rPr>
                <w:rFonts w:ascii="Carlito" w:hAnsi="Carlito"/>
              </w:rPr>
            </w:pPr>
            <w:r>
              <w:rPr>
                <w:rFonts w:ascii="Carlito" w:hAnsi="Carlito"/>
                <w:sz w:val="20"/>
              </w:rPr>
              <w:t xml:space="preserve"> As máquinas e aparelhos encontrados no mercado sem as especificações legais, quando da vigência da regulamentação específica, deverão ser recolhidos, no prazo máximo de 30 (trinta) dias, pelos respectivos fabricantes e importadores, sob pena de multa, por unidade, de até 100% (cem por cento) do preço de venda por eles praticados.</w:t>
            </w:r>
          </w:p>
          <w:p w14:paraId="409DD53C" w14:textId="0F10784B" w:rsidR="00CD48D0" w:rsidRDefault="00CD48D0" w:rsidP="00CD48D0">
            <w:pPr>
              <w:pStyle w:val="Default"/>
              <w:widowControl w:val="0"/>
              <w:ind w:left="1455"/>
              <w:rPr>
                <w:rFonts w:ascii="Carlito" w:hAnsi="Carlito"/>
              </w:rPr>
            </w:pPr>
          </w:p>
        </w:tc>
      </w:tr>
    </w:tbl>
    <w:p w14:paraId="1B1C257B" w14:textId="77777777" w:rsidR="00717837" w:rsidRPr="00717837" w:rsidRDefault="00717837" w:rsidP="00087B74">
      <w:pPr>
        <w:pStyle w:val="Nivel2"/>
        <w:spacing w:before="0" w:after="0" w:line="240" w:lineRule="exact"/>
        <w:ind w:left="709"/>
        <w:rPr>
          <w:rFonts w:asciiTheme="majorHAnsi" w:hAnsiTheme="majorHAnsi" w:cstheme="majorHAnsi"/>
          <w:sz w:val="22"/>
          <w:szCs w:val="22"/>
        </w:rPr>
      </w:pPr>
    </w:p>
    <w:p w14:paraId="413BF094" w14:textId="77777777" w:rsidR="003F2EEF" w:rsidRPr="00717837" w:rsidRDefault="006F1B16" w:rsidP="00087B74">
      <w:pPr>
        <w:pStyle w:val="Nvel1-SemNum"/>
        <w:spacing w:before="120" w:after="120" w:line="240" w:lineRule="exact"/>
        <w:ind w:left="0"/>
        <w:rPr>
          <w:rFonts w:asciiTheme="majorHAnsi" w:hAnsiTheme="majorHAnsi" w:cstheme="majorHAnsi"/>
          <w:sz w:val="22"/>
          <w:szCs w:val="22"/>
        </w:rPr>
      </w:pPr>
      <w:r w:rsidRPr="00717837">
        <w:rPr>
          <w:rFonts w:asciiTheme="majorHAnsi" w:hAnsiTheme="majorHAnsi" w:cstheme="majorHAnsi"/>
          <w:color w:val="000000"/>
          <w:sz w:val="22"/>
          <w:szCs w:val="22"/>
        </w:rPr>
        <w:t>Subcontratação</w:t>
      </w:r>
    </w:p>
    <w:p w14:paraId="33893223" w14:textId="29E68041" w:rsidR="003F2EEF" w:rsidRPr="00087B74" w:rsidRDefault="006F1B16" w:rsidP="00087B74">
      <w:pPr>
        <w:pStyle w:val="Nivel2"/>
        <w:numPr>
          <w:ilvl w:val="1"/>
          <w:numId w:val="1"/>
        </w:numPr>
        <w:spacing w:line="240" w:lineRule="exact"/>
        <w:ind w:left="0" w:firstLine="709"/>
        <w:rPr>
          <w:rFonts w:asciiTheme="majorHAnsi" w:hAnsiTheme="majorHAnsi" w:cstheme="majorHAnsi"/>
          <w:iCs/>
          <w:color w:val="FF0000"/>
          <w:sz w:val="22"/>
          <w:szCs w:val="22"/>
        </w:rPr>
      </w:pPr>
      <w:r w:rsidRPr="00717837">
        <w:rPr>
          <w:rFonts w:asciiTheme="majorHAnsi" w:hAnsiTheme="majorHAnsi" w:cstheme="majorHAnsi"/>
          <w:iCs/>
          <w:sz w:val="22"/>
          <w:szCs w:val="22"/>
        </w:rPr>
        <w:t>Não é admitida a subcontratação do objeto contratual.</w:t>
      </w:r>
    </w:p>
    <w:p w14:paraId="0AD2F8E3" w14:textId="77777777" w:rsidR="00087B74" w:rsidRPr="00717837" w:rsidRDefault="00087B74" w:rsidP="00087B74">
      <w:pPr>
        <w:pStyle w:val="Nivel2"/>
        <w:spacing w:line="240" w:lineRule="exact"/>
        <w:ind w:left="709"/>
        <w:rPr>
          <w:rFonts w:asciiTheme="majorHAnsi" w:hAnsiTheme="majorHAnsi" w:cstheme="majorHAnsi"/>
          <w:iCs/>
          <w:color w:val="FF0000"/>
          <w:sz w:val="22"/>
          <w:szCs w:val="22"/>
        </w:rPr>
      </w:pPr>
    </w:p>
    <w:p w14:paraId="3155306C" w14:textId="77777777" w:rsidR="003F2EEF" w:rsidRPr="00237AA8" w:rsidRDefault="006F1B16" w:rsidP="00087B74">
      <w:pPr>
        <w:pStyle w:val="Nvel1-SemNum"/>
        <w:spacing w:before="120" w:after="120" w:line="240" w:lineRule="exact"/>
        <w:ind w:left="0"/>
        <w:rPr>
          <w:rFonts w:asciiTheme="majorHAnsi" w:hAnsiTheme="majorHAnsi" w:cstheme="majorHAnsi"/>
          <w:color w:val="00000A"/>
          <w:sz w:val="22"/>
          <w:szCs w:val="22"/>
        </w:rPr>
      </w:pPr>
      <w:r w:rsidRPr="00237AA8">
        <w:rPr>
          <w:rFonts w:asciiTheme="majorHAnsi" w:hAnsiTheme="majorHAnsi" w:cstheme="majorHAnsi"/>
          <w:color w:val="00000A"/>
          <w:sz w:val="22"/>
          <w:szCs w:val="22"/>
        </w:rPr>
        <w:lastRenderedPageBreak/>
        <w:t>Garantia da contratação</w:t>
      </w:r>
    </w:p>
    <w:p w14:paraId="2C2F728E" w14:textId="56639EBC" w:rsidR="003F2EEF" w:rsidRPr="002E7ABD" w:rsidRDefault="006F1B16" w:rsidP="002E7ABD">
      <w:pPr>
        <w:pStyle w:val="Nvel2-Red"/>
        <w:numPr>
          <w:ilvl w:val="1"/>
          <w:numId w:val="1"/>
        </w:numPr>
        <w:spacing w:line="240" w:lineRule="exact"/>
        <w:ind w:left="709" w:firstLine="0"/>
        <w:rPr>
          <w:rFonts w:asciiTheme="majorHAnsi" w:hAnsiTheme="majorHAnsi" w:cstheme="majorHAnsi"/>
          <w:i w:val="0"/>
          <w:sz w:val="22"/>
          <w:szCs w:val="22"/>
        </w:rPr>
      </w:pPr>
      <w:r w:rsidRPr="002E7ABD">
        <w:rPr>
          <w:rFonts w:asciiTheme="majorHAnsi" w:hAnsiTheme="majorHAnsi" w:cstheme="majorHAnsi"/>
          <w:i w:val="0"/>
          <w:color w:val="000000"/>
          <w:sz w:val="22"/>
          <w:szCs w:val="22"/>
        </w:rPr>
        <w:t xml:space="preserve">Não haverá exigência da garantia da contratação dos </w:t>
      </w:r>
      <w:hyperlink r:id="rId15" w:anchor="art96" w:history="1">
        <w:r w:rsidRPr="002E7ABD">
          <w:rPr>
            <w:rStyle w:val="LinkdaInternet"/>
            <w:rFonts w:asciiTheme="majorHAnsi" w:hAnsiTheme="majorHAnsi" w:cstheme="majorHAnsi"/>
            <w:i w:val="0"/>
            <w:color w:val="000000"/>
            <w:sz w:val="22"/>
            <w:szCs w:val="22"/>
          </w:rPr>
          <w:t>artigos 96 e seguintes da Lei nº 14.133, de 2021</w:t>
        </w:r>
      </w:hyperlink>
      <w:r w:rsidRPr="002E7ABD">
        <w:rPr>
          <w:rFonts w:asciiTheme="majorHAnsi" w:hAnsiTheme="majorHAnsi" w:cstheme="majorHAnsi"/>
          <w:i w:val="0"/>
          <w:color w:val="000000"/>
          <w:sz w:val="22"/>
          <w:szCs w:val="22"/>
        </w:rPr>
        <w:t xml:space="preserve">, pelas razões constantes do </w:t>
      </w:r>
      <w:r w:rsidRPr="002E7ABD">
        <w:rPr>
          <w:rFonts w:asciiTheme="majorHAnsi" w:hAnsiTheme="majorHAnsi" w:cstheme="majorHAnsi"/>
          <w:b/>
          <w:i w:val="0"/>
          <w:color w:val="000000"/>
          <w:sz w:val="22"/>
          <w:szCs w:val="22"/>
        </w:rPr>
        <w:t>Estudo Técnico Preliminar.</w:t>
      </w:r>
    </w:p>
    <w:p w14:paraId="18CC7848" w14:textId="77777777" w:rsidR="00F806ED" w:rsidRPr="00237AA8" w:rsidRDefault="00F806ED" w:rsidP="002E7ABD">
      <w:pPr>
        <w:pStyle w:val="Nvel2-Red"/>
        <w:spacing w:line="240" w:lineRule="exact"/>
        <w:ind w:left="999"/>
        <w:rPr>
          <w:rFonts w:asciiTheme="majorHAnsi" w:hAnsiTheme="majorHAnsi" w:cstheme="majorHAnsi"/>
          <w:sz w:val="22"/>
          <w:szCs w:val="22"/>
        </w:rPr>
      </w:pPr>
    </w:p>
    <w:p w14:paraId="334A8AD4" w14:textId="77777777" w:rsidR="003F2EEF" w:rsidRPr="00237AA8" w:rsidRDefault="006F1B16" w:rsidP="00087B74">
      <w:pPr>
        <w:pStyle w:val="Nivel01"/>
        <w:numPr>
          <w:ilvl w:val="0"/>
          <w:numId w:val="1"/>
        </w:numPr>
        <w:spacing w:before="120" w:after="120" w:line="240" w:lineRule="exact"/>
        <w:rPr>
          <w:rFonts w:asciiTheme="majorHAnsi" w:hAnsiTheme="majorHAnsi" w:cstheme="majorHAnsi"/>
          <w:sz w:val="22"/>
          <w:szCs w:val="22"/>
        </w:rPr>
      </w:pPr>
      <w:r w:rsidRPr="00237AA8">
        <w:rPr>
          <w:rFonts w:asciiTheme="majorHAnsi" w:hAnsiTheme="majorHAnsi" w:cstheme="majorHAnsi"/>
          <w:color w:val="000000"/>
          <w:sz w:val="22"/>
          <w:szCs w:val="22"/>
        </w:rPr>
        <w:t>MODELO DE EXECUÇÃO DO OBJETO</w:t>
      </w:r>
    </w:p>
    <w:p w14:paraId="4DBCA74E" w14:textId="77777777" w:rsidR="003F2EEF" w:rsidRPr="00237AA8" w:rsidRDefault="006F1B16" w:rsidP="00EF3BF7">
      <w:pPr>
        <w:pStyle w:val="Nvel1-SemNum"/>
        <w:spacing w:before="120" w:after="120" w:line="312" w:lineRule="auto"/>
        <w:ind w:left="0"/>
        <w:rPr>
          <w:rFonts w:asciiTheme="majorHAnsi" w:hAnsiTheme="majorHAnsi" w:cstheme="majorHAnsi"/>
          <w:color w:val="000000" w:themeColor="text1"/>
          <w:sz w:val="22"/>
          <w:szCs w:val="22"/>
          <w:highlight w:val="yellow"/>
        </w:rPr>
      </w:pPr>
      <w:r w:rsidRPr="00237AA8">
        <w:rPr>
          <w:rFonts w:asciiTheme="majorHAnsi" w:hAnsiTheme="majorHAnsi" w:cstheme="majorHAnsi"/>
          <w:color w:val="000000" w:themeColor="text1"/>
          <w:sz w:val="22"/>
          <w:szCs w:val="22"/>
        </w:rPr>
        <w:t>Condições de Entrega</w:t>
      </w:r>
    </w:p>
    <w:p w14:paraId="596B2F54" w14:textId="53A4E87D" w:rsidR="003F2EEF" w:rsidRPr="001B261B" w:rsidRDefault="006F1B16" w:rsidP="00A147E2">
      <w:pPr>
        <w:pStyle w:val="Nvel2-Red"/>
        <w:numPr>
          <w:ilvl w:val="1"/>
          <w:numId w:val="1"/>
        </w:numPr>
        <w:spacing w:line="312" w:lineRule="auto"/>
        <w:ind w:left="567"/>
        <w:rPr>
          <w:rFonts w:asciiTheme="majorHAnsi" w:hAnsiTheme="majorHAnsi" w:cstheme="majorHAnsi"/>
          <w:i w:val="0"/>
          <w:sz w:val="22"/>
          <w:szCs w:val="22"/>
        </w:rPr>
      </w:pPr>
      <w:r w:rsidRPr="001B261B">
        <w:rPr>
          <w:rFonts w:asciiTheme="majorHAnsi" w:hAnsiTheme="majorHAnsi" w:cstheme="majorHAnsi"/>
          <w:i w:val="0"/>
          <w:color w:val="000000"/>
          <w:sz w:val="22"/>
          <w:szCs w:val="22"/>
        </w:rPr>
        <w:t xml:space="preserve">O prazo de entrega dos bens é de 30 dias corridos, contados do recebimento da Nota de Empenho, em </w:t>
      </w:r>
      <w:r w:rsidR="00F14047" w:rsidRPr="001B261B">
        <w:rPr>
          <w:rFonts w:asciiTheme="majorHAnsi" w:hAnsiTheme="majorHAnsi" w:cstheme="majorHAnsi"/>
          <w:i w:val="0"/>
          <w:color w:val="000000"/>
          <w:sz w:val="22"/>
          <w:szCs w:val="22"/>
        </w:rPr>
        <w:t xml:space="preserve">remessa </w:t>
      </w:r>
      <w:r w:rsidR="00846AE4" w:rsidRPr="001B261B">
        <w:rPr>
          <w:rFonts w:asciiTheme="majorHAnsi" w:hAnsiTheme="majorHAnsi" w:cstheme="majorHAnsi"/>
          <w:i w:val="0"/>
          <w:color w:val="000000"/>
          <w:sz w:val="22"/>
          <w:szCs w:val="22"/>
        </w:rPr>
        <w:t>por Nota de Empenho, conforme solicitado</w:t>
      </w:r>
      <w:r w:rsidRPr="001B261B">
        <w:rPr>
          <w:rFonts w:asciiTheme="majorHAnsi" w:hAnsiTheme="majorHAnsi" w:cstheme="majorHAnsi"/>
          <w:i w:val="0"/>
          <w:color w:val="000000"/>
          <w:sz w:val="22"/>
          <w:szCs w:val="22"/>
        </w:rPr>
        <w:t xml:space="preserve">. </w:t>
      </w:r>
    </w:p>
    <w:p w14:paraId="00039B1C" w14:textId="1E96C150" w:rsidR="003F2EEF" w:rsidRPr="00EF3BF7" w:rsidRDefault="006F1B16" w:rsidP="00846AE4">
      <w:pPr>
        <w:pStyle w:val="Nvel2-Red"/>
        <w:numPr>
          <w:ilvl w:val="1"/>
          <w:numId w:val="1"/>
        </w:numPr>
        <w:spacing w:line="312" w:lineRule="auto"/>
        <w:ind w:left="142" w:firstLine="0"/>
        <w:rPr>
          <w:rFonts w:asciiTheme="majorHAnsi" w:hAnsiTheme="majorHAnsi" w:cstheme="majorHAnsi"/>
          <w:i w:val="0"/>
          <w:sz w:val="22"/>
          <w:szCs w:val="22"/>
        </w:rPr>
      </w:pPr>
      <w:r w:rsidRPr="00EF3BF7">
        <w:rPr>
          <w:rFonts w:asciiTheme="majorHAnsi" w:hAnsiTheme="majorHAnsi" w:cstheme="majorHAnsi"/>
          <w:i w:val="0"/>
          <w:color w:val="000000"/>
          <w:sz w:val="22"/>
          <w:szCs w:val="22"/>
        </w:rPr>
        <w:t xml:space="preserve">Caso não seja possível a entrega na data assinalada, a empresa deverá comunicar as razões respectivas com pelo menos </w:t>
      </w:r>
      <w:r w:rsidR="001B261B">
        <w:rPr>
          <w:rFonts w:asciiTheme="majorHAnsi" w:hAnsiTheme="majorHAnsi" w:cstheme="majorHAnsi"/>
          <w:i w:val="0"/>
          <w:color w:val="000000"/>
          <w:sz w:val="22"/>
          <w:szCs w:val="22"/>
        </w:rPr>
        <w:t>10 (dez)</w:t>
      </w:r>
      <w:r w:rsidRPr="00EF3BF7">
        <w:rPr>
          <w:rFonts w:asciiTheme="majorHAnsi" w:hAnsiTheme="majorHAnsi" w:cstheme="majorHAnsi"/>
          <w:i w:val="0"/>
          <w:color w:val="000000"/>
          <w:sz w:val="22"/>
          <w:szCs w:val="22"/>
        </w:rPr>
        <w:t xml:space="preserve"> dias de antecedência para que qualquer pleito de prorrogação de prazo seja analisado, ressalvadas situações de caso fortuito e força maior.</w:t>
      </w:r>
    </w:p>
    <w:p w14:paraId="55661169" w14:textId="77777777" w:rsidR="004E4FDA" w:rsidRDefault="006F1B16" w:rsidP="0038106C">
      <w:pPr>
        <w:pStyle w:val="Nivel2"/>
        <w:numPr>
          <w:ilvl w:val="1"/>
          <w:numId w:val="1"/>
        </w:numPr>
        <w:spacing w:line="312" w:lineRule="auto"/>
        <w:ind w:left="142" w:firstLine="0"/>
        <w:rPr>
          <w:rFonts w:asciiTheme="majorHAnsi" w:hAnsiTheme="majorHAnsi" w:cstheme="majorHAnsi"/>
          <w:sz w:val="22"/>
          <w:szCs w:val="22"/>
        </w:rPr>
      </w:pPr>
      <w:r w:rsidRPr="00237AA8">
        <w:rPr>
          <w:rFonts w:asciiTheme="majorHAnsi" w:hAnsiTheme="majorHAnsi" w:cstheme="majorHAnsi"/>
          <w:sz w:val="22"/>
          <w:szCs w:val="22"/>
        </w:rPr>
        <w:t>Os bens deverão ser entregues nos seguintes endereços</w:t>
      </w:r>
      <w:r w:rsidR="004E4FDA">
        <w:rPr>
          <w:rFonts w:asciiTheme="majorHAnsi" w:hAnsiTheme="majorHAnsi" w:cstheme="majorHAnsi"/>
          <w:sz w:val="22"/>
          <w:szCs w:val="22"/>
        </w:rPr>
        <w:t>,</w:t>
      </w:r>
      <w:r w:rsidRPr="00237AA8">
        <w:rPr>
          <w:rFonts w:asciiTheme="majorHAnsi" w:hAnsiTheme="majorHAnsi" w:cstheme="majorHAnsi"/>
          <w:sz w:val="22"/>
          <w:szCs w:val="22"/>
        </w:rPr>
        <w:t xml:space="preserve"> conforme </w:t>
      </w:r>
      <w:r w:rsidR="004E4FDA">
        <w:rPr>
          <w:rFonts w:asciiTheme="majorHAnsi" w:hAnsiTheme="majorHAnsi" w:cstheme="majorHAnsi"/>
          <w:sz w:val="22"/>
          <w:szCs w:val="22"/>
        </w:rPr>
        <w:t>descritos no quadro do item 1.1:</w:t>
      </w:r>
      <w:r w:rsidRPr="00237AA8">
        <w:rPr>
          <w:rFonts w:asciiTheme="majorHAnsi" w:hAnsiTheme="majorHAnsi" w:cstheme="majorHAnsi"/>
          <w:sz w:val="22"/>
          <w:szCs w:val="22"/>
        </w:rPr>
        <w:t xml:space="preserve"> </w:t>
      </w:r>
    </w:p>
    <w:p w14:paraId="09922A1B" w14:textId="5FB050FA" w:rsidR="0038106C" w:rsidRPr="00763263" w:rsidRDefault="00F34886" w:rsidP="00B97587">
      <w:pPr>
        <w:pStyle w:val="Nivel2"/>
        <w:numPr>
          <w:ilvl w:val="2"/>
          <w:numId w:val="1"/>
        </w:numPr>
        <w:spacing w:line="312" w:lineRule="auto"/>
        <w:ind w:left="709" w:firstLine="0"/>
        <w:rPr>
          <w:rFonts w:asciiTheme="majorHAnsi" w:hAnsiTheme="majorHAnsi" w:cstheme="majorHAnsi"/>
          <w:sz w:val="22"/>
          <w:szCs w:val="22"/>
          <w:highlight w:val="yellow"/>
        </w:rPr>
      </w:pPr>
      <w:r w:rsidRPr="00763263">
        <w:rPr>
          <w:rFonts w:asciiTheme="majorHAnsi" w:hAnsiTheme="majorHAnsi" w:cstheme="majorHAnsi"/>
          <w:b/>
          <w:bCs/>
          <w:sz w:val="22"/>
          <w:szCs w:val="22"/>
          <w:highlight w:val="yellow"/>
        </w:rPr>
        <w:t xml:space="preserve">21ª Cia E Cnst 160022: </w:t>
      </w:r>
      <w:r w:rsidR="006F1B16" w:rsidRPr="00763263">
        <w:rPr>
          <w:rFonts w:asciiTheme="majorHAnsi" w:hAnsiTheme="majorHAnsi" w:cstheme="majorHAnsi"/>
          <w:b/>
          <w:bCs/>
          <w:sz w:val="22"/>
          <w:szCs w:val="22"/>
          <w:highlight w:val="yellow"/>
        </w:rPr>
        <w:t>São Gabriel da Cachoeira</w:t>
      </w:r>
      <w:r w:rsidR="00BF5F89" w:rsidRPr="00763263">
        <w:rPr>
          <w:rFonts w:asciiTheme="majorHAnsi" w:hAnsiTheme="majorHAnsi" w:cstheme="majorHAnsi"/>
          <w:b/>
          <w:bCs/>
          <w:sz w:val="22"/>
          <w:szCs w:val="22"/>
          <w:highlight w:val="yellow"/>
        </w:rPr>
        <w:t>/AM</w:t>
      </w:r>
      <w:r w:rsidR="00AD046F" w:rsidRPr="00763263">
        <w:rPr>
          <w:rFonts w:asciiTheme="majorHAnsi" w:hAnsiTheme="majorHAnsi" w:cstheme="majorHAnsi"/>
          <w:b/>
          <w:bCs/>
          <w:sz w:val="22"/>
          <w:szCs w:val="22"/>
          <w:highlight w:val="yellow"/>
        </w:rPr>
        <w:t>,</w:t>
      </w:r>
      <w:r w:rsidR="006F1B16" w:rsidRPr="00763263">
        <w:rPr>
          <w:rFonts w:asciiTheme="majorHAnsi" w:hAnsiTheme="majorHAnsi" w:cstheme="majorHAnsi"/>
          <w:sz w:val="22"/>
          <w:szCs w:val="22"/>
          <w:highlight w:val="yellow"/>
        </w:rPr>
        <w:t xml:space="preserve"> </w:t>
      </w:r>
      <w:r w:rsidR="00BF5F89" w:rsidRPr="00763263">
        <w:rPr>
          <w:rFonts w:asciiTheme="majorHAnsi" w:hAnsiTheme="majorHAnsi" w:cstheme="majorHAnsi"/>
          <w:sz w:val="22"/>
          <w:szCs w:val="22"/>
          <w:highlight w:val="yellow"/>
        </w:rPr>
        <w:t xml:space="preserve">na sede da </w:t>
      </w:r>
      <w:r w:rsidR="006F1B16" w:rsidRPr="00763263">
        <w:rPr>
          <w:rFonts w:asciiTheme="majorHAnsi" w:hAnsiTheme="majorHAnsi" w:cstheme="majorHAnsi"/>
          <w:sz w:val="22"/>
          <w:szCs w:val="22"/>
          <w:highlight w:val="yellow"/>
        </w:rPr>
        <w:t>21° Companhia de Engenharia de Construção,</w:t>
      </w:r>
      <w:r w:rsidR="0038106C" w:rsidRPr="00763263">
        <w:rPr>
          <w:rFonts w:asciiTheme="majorHAnsi" w:hAnsiTheme="majorHAnsi" w:cstheme="majorHAnsi"/>
          <w:sz w:val="22"/>
          <w:szCs w:val="22"/>
          <w:highlight w:val="yellow"/>
        </w:rPr>
        <w:t xml:space="preserve"> Área Cap Nobuo Oba, S/N, bair</w:t>
      </w:r>
      <w:r w:rsidR="00C56539" w:rsidRPr="00763263">
        <w:rPr>
          <w:rFonts w:asciiTheme="majorHAnsi" w:hAnsiTheme="majorHAnsi" w:cstheme="majorHAnsi"/>
          <w:sz w:val="22"/>
          <w:szCs w:val="22"/>
          <w:highlight w:val="yellow"/>
        </w:rPr>
        <w:t>ro Cachoeirinha, CEP 69.750-000</w:t>
      </w:r>
      <w:r w:rsidR="0038106C" w:rsidRPr="00763263">
        <w:rPr>
          <w:rFonts w:asciiTheme="majorHAnsi" w:hAnsiTheme="majorHAnsi" w:cstheme="majorHAnsi"/>
          <w:sz w:val="22"/>
          <w:szCs w:val="22"/>
          <w:highlight w:val="yellow"/>
        </w:rPr>
        <w:t>.</w:t>
      </w:r>
    </w:p>
    <w:p w14:paraId="45A6FDAA" w14:textId="66C10CCD" w:rsidR="003F2EEF" w:rsidRPr="00271985" w:rsidRDefault="006F1B16" w:rsidP="00B97587">
      <w:pPr>
        <w:pStyle w:val="Nivel2"/>
        <w:spacing w:line="312" w:lineRule="auto"/>
        <w:ind w:left="142"/>
        <w:rPr>
          <w:rFonts w:asciiTheme="majorHAnsi" w:hAnsiTheme="majorHAnsi" w:cstheme="majorHAnsi"/>
          <w:b/>
          <w:sz w:val="22"/>
          <w:szCs w:val="22"/>
        </w:rPr>
      </w:pPr>
      <w:r w:rsidRPr="00271985">
        <w:rPr>
          <w:rFonts w:asciiTheme="majorHAnsi" w:hAnsiTheme="majorHAnsi" w:cstheme="majorHAnsi"/>
          <w:b/>
          <w:color w:val="00000A"/>
          <w:sz w:val="22"/>
          <w:szCs w:val="22"/>
        </w:rPr>
        <w:t>Garantia, manutenção e assistência técnica</w:t>
      </w:r>
    </w:p>
    <w:p w14:paraId="325E427B" w14:textId="43EC4F9A" w:rsidR="003F2EEF" w:rsidRDefault="006F1B16" w:rsidP="00271985">
      <w:pPr>
        <w:pStyle w:val="Nivel2"/>
        <w:numPr>
          <w:ilvl w:val="1"/>
          <w:numId w:val="1"/>
        </w:numPr>
        <w:spacing w:line="312" w:lineRule="auto"/>
        <w:ind w:left="142" w:hanging="6"/>
        <w:rPr>
          <w:rFonts w:asciiTheme="majorHAnsi" w:hAnsiTheme="majorHAnsi" w:cstheme="majorHAnsi"/>
          <w:b/>
          <w:sz w:val="22"/>
          <w:szCs w:val="22"/>
        </w:rPr>
      </w:pPr>
      <w:r w:rsidRPr="001A65E8">
        <w:rPr>
          <w:rFonts w:asciiTheme="majorHAnsi" w:hAnsiTheme="majorHAnsi" w:cstheme="majorHAnsi"/>
          <w:b/>
          <w:sz w:val="22"/>
          <w:szCs w:val="22"/>
        </w:rPr>
        <w:t xml:space="preserve"> O prazo de garantia </w:t>
      </w:r>
      <w:r w:rsidR="007353BD">
        <w:rPr>
          <w:rFonts w:asciiTheme="majorHAnsi" w:hAnsiTheme="majorHAnsi" w:cstheme="majorHAnsi"/>
          <w:b/>
          <w:sz w:val="22"/>
          <w:szCs w:val="22"/>
        </w:rPr>
        <w:t xml:space="preserve">dos materiais permanentes </w:t>
      </w:r>
      <w:r w:rsidRPr="001A65E8">
        <w:rPr>
          <w:rFonts w:asciiTheme="majorHAnsi" w:hAnsiTheme="majorHAnsi" w:cstheme="majorHAnsi"/>
          <w:b/>
          <w:sz w:val="22"/>
          <w:szCs w:val="22"/>
        </w:rPr>
        <w:t xml:space="preserve">é </w:t>
      </w:r>
      <w:r w:rsidR="00614EB0">
        <w:rPr>
          <w:rFonts w:asciiTheme="majorHAnsi" w:hAnsiTheme="majorHAnsi" w:cstheme="majorHAnsi"/>
          <w:b/>
          <w:sz w:val="22"/>
          <w:szCs w:val="22"/>
        </w:rPr>
        <w:t xml:space="preserve">de 12 (doze) meses, </w:t>
      </w:r>
      <w:r w:rsidR="007353BD">
        <w:rPr>
          <w:rFonts w:asciiTheme="majorHAnsi" w:hAnsiTheme="majorHAnsi" w:cstheme="majorHAnsi"/>
          <w:b/>
          <w:sz w:val="22"/>
          <w:szCs w:val="22"/>
        </w:rPr>
        <w:t>inclusive a troca nos casos d</w:t>
      </w:r>
      <w:r w:rsidR="00614EB0">
        <w:rPr>
          <w:rFonts w:asciiTheme="majorHAnsi" w:hAnsiTheme="majorHAnsi" w:cstheme="majorHAnsi"/>
          <w:b/>
          <w:sz w:val="22"/>
          <w:szCs w:val="22"/>
        </w:rPr>
        <w:t xml:space="preserve">e ocultos, </w:t>
      </w:r>
      <w:r w:rsidR="007353BD">
        <w:rPr>
          <w:rFonts w:asciiTheme="majorHAnsi" w:hAnsiTheme="majorHAnsi" w:cstheme="majorHAnsi"/>
          <w:b/>
          <w:sz w:val="22"/>
          <w:szCs w:val="22"/>
        </w:rPr>
        <w:t>conforme</w:t>
      </w:r>
      <w:r w:rsidR="00614EB0">
        <w:rPr>
          <w:rFonts w:asciiTheme="majorHAnsi" w:hAnsiTheme="majorHAnsi" w:cstheme="majorHAnsi"/>
          <w:b/>
          <w:sz w:val="22"/>
          <w:szCs w:val="22"/>
        </w:rPr>
        <w:t xml:space="preserve"> </w:t>
      </w:r>
      <w:r w:rsidRPr="001A65E8">
        <w:rPr>
          <w:rFonts w:asciiTheme="majorHAnsi" w:hAnsiTheme="majorHAnsi" w:cstheme="majorHAnsi"/>
          <w:b/>
          <w:sz w:val="22"/>
          <w:szCs w:val="22"/>
        </w:rPr>
        <w:t>estabelecido na Lei nº 8.078, de 11 de setembro de 1990 (Código de Defesa do Consumidor), observando também o prescrito nas normas da ABNT e do DNIT citadas na especificação dos p</w:t>
      </w:r>
      <w:r w:rsidR="001A65E8" w:rsidRPr="001A65E8">
        <w:rPr>
          <w:rFonts w:asciiTheme="majorHAnsi" w:hAnsiTheme="majorHAnsi" w:cstheme="majorHAnsi"/>
          <w:b/>
          <w:sz w:val="22"/>
          <w:szCs w:val="22"/>
        </w:rPr>
        <w:t>r</w:t>
      </w:r>
      <w:r w:rsidRPr="001A65E8">
        <w:rPr>
          <w:rFonts w:asciiTheme="majorHAnsi" w:hAnsiTheme="majorHAnsi" w:cstheme="majorHAnsi"/>
          <w:b/>
          <w:sz w:val="22"/>
          <w:szCs w:val="22"/>
        </w:rPr>
        <w:t>odutos.</w:t>
      </w:r>
      <w:r w:rsidR="009F048D">
        <w:rPr>
          <w:rFonts w:asciiTheme="majorHAnsi" w:hAnsiTheme="majorHAnsi" w:cstheme="majorHAnsi"/>
          <w:b/>
          <w:sz w:val="22"/>
          <w:szCs w:val="22"/>
        </w:rPr>
        <w:t xml:space="preserve"> </w:t>
      </w:r>
      <w:r w:rsidR="00D51E69">
        <w:rPr>
          <w:rFonts w:asciiTheme="majorHAnsi" w:hAnsiTheme="majorHAnsi" w:cstheme="majorHAnsi"/>
          <w:b/>
          <w:sz w:val="22"/>
          <w:szCs w:val="22"/>
        </w:rPr>
        <w:t>Os bens comuns de consumo deverão possuir a validade de no mínimo 2/3 do prazo de validade total.</w:t>
      </w:r>
    </w:p>
    <w:p w14:paraId="2323008E" w14:textId="77777777" w:rsidR="001A65E8" w:rsidRPr="001A65E8" w:rsidRDefault="001A65E8" w:rsidP="001A65E8">
      <w:pPr>
        <w:pStyle w:val="Nivel2"/>
        <w:spacing w:line="312" w:lineRule="auto"/>
        <w:ind w:left="142"/>
        <w:rPr>
          <w:rFonts w:asciiTheme="majorHAnsi" w:hAnsiTheme="majorHAnsi" w:cstheme="majorHAnsi"/>
          <w:b/>
          <w:sz w:val="22"/>
          <w:szCs w:val="22"/>
        </w:rPr>
      </w:pPr>
    </w:p>
    <w:p w14:paraId="27F138F9" w14:textId="77777777" w:rsidR="003F2EEF" w:rsidRPr="00237AA8" w:rsidRDefault="006F1B16" w:rsidP="001B3853">
      <w:pPr>
        <w:pStyle w:val="Nivel01"/>
        <w:numPr>
          <w:ilvl w:val="0"/>
          <w:numId w:val="1"/>
        </w:numPr>
        <w:spacing w:before="120" w:after="120" w:line="312" w:lineRule="auto"/>
        <w:rPr>
          <w:rFonts w:asciiTheme="majorHAnsi" w:hAnsiTheme="majorHAnsi" w:cstheme="majorHAnsi"/>
          <w:sz w:val="22"/>
          <w:szCs w:val="22"/>
        </w:rPr>
      </w:pPr>
      <w:r w:rsidRPr="00237AA8">
        <w:rPr>
          <w:rFonts w:asciiTheme="majorHAnsi" w:hAnsiTheme="majorHAnsi" w:cstheme="majorHAnsi"/>
          <w:sz w:val="22"/>
          <w:szCs w:val="22"/>
        </w:rPr>
        <w:t>MODELO DE GESTÃO DO CONTRATO</w:t>
      </w:r>
    </w:p>
    <w:p w14:paraId="6C23831E"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eastAsia="Arial" w:hAnsiTheme="majorHAnsi" w:cstheme="majorHAnsi"/>
          <w:color w:val="00000A"/>
          <w:sz w:val="22"/>
          <w:szCs w:val="22"/>
        </w:rPr>
        <w:t>O contrato deverá ser executado fielmente pelas partes, de acordo com as cláusulas avençadas e as normas da Lei nº 14.133, de 2021, e cada parte responderá pelas consequências de sua inexecução total ou parcial.</w:t>
      </w:r>
    </w:p>
    <w:p w14:paraId="296A0DDC"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Em caso de impedimento, ordem de paralisação ou suspensão do contrato, o cronograma de execução será prorrogado automaticamente pelo tempo correspondente, anotadas tais circunstâncias mediante simples apostila.</w:t>
      </w:r>
    </w:p>
    <w:p w14:paraId="64A2836A"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As comunicações entre o órgão ou entidade e a contratada devem ser realizadas por escrito sempre que o ato exigir tal formalidade, admitindo-se o uso de mensagem eletrônica para esse fim.</w:t>
      </w:r>
    </w:p>
    <w:p w14:paraId="4998792F"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órgão ou entidade poderá convocar representante da empresa para adoção de providências que devam ser cumpridas de imediato.</w:t>
      </w:r>
    </w:p>
    <w:p w14:paraId="796DEDB1" w14:textId="13FEF1F3" w:rsidR="003F2EEF" w:rsidRPr="006B4536" w:rsidRDefault="006F1B16" w:rsidP="00EF5184">
      <w:pPr>
        <w:pStyle w:val="Nvel2-Red"/>
        <w:numPr>
          <w:ilvl w:val="1"/>
          <w:numId w:val="1"/>
        </w:numPr>
        <w:tabs>
          <w:tab w:val="left" w:pos="426"/>
        </w:tabs>
        <w:spacing w:line="240" w:lineRule="exact"/>
        <w:ind w:left="0" w:hanging="6"/>
        <w:rPr>
          <w:rFonts w:asciiTheme="majorHAnsi" w:hAnsiTheme="majorHAnsi" w:cstheme="majorHAnsi"/>
          <w:i w:val="0"/>
          <w:sz w:val="22"/>
          <w:szCs w:val="22"/>
        </w:rPr>
      </w:pPr>
      <w:r w:rsidRPr="0066283F">
        <w:rPr>
          <w:rFonts w:asciiTheme="majorHAnsi" w:hAnsiTheme="majorHAnsi" w:cstheme="majorHAnsi"/>
          <w:i w:val="0"/>
          <w:color w:val="000000"/>
          <w:sz w:val="22"/>
          <w:szCs w:val="22"/>
        </w:rPr>
        <w:t>Após a assinatura do contrato ou instrumento equivalente</w:t>
      </w:r>
      <w:r w:rsidRPr="0066283F">
        <w:rPr>
          <w:rFonts w:asciiTheme="majorHAnsi" w:hAnsiTheme="majorHAnsi" w:cstheme="majorHAnsi"/>
          <w:i w:val="0"/>
          <w:strike/>
          <w:color w:val="000000"/>
          <w:sz w:val="22"/>
          <w:szCs w:val="22"/>
        </w:rPr>
        <w:t>,</w:t>
      </w:r>
      <w:r w:rsidRPr="0066283F">
        <w:rPr>
          <w:rFonts w:asciiTheme="majorHAnsi" w:hAnsiTheme="majorHAnsi" w:cstheme="majorHAnsi"/>
          <w:i w:val="0"/>
          <w:color w:val="000000"/>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w:t>
      </w:r>
      <w:r w:rsidRPr="0066283F">
        <w:rPr>
          <w:rFonts w:asciiTheme="majorHAnsi" w:hAnsiTheme="majorHAnsi" w:cstheme="majorHAnsi"/>
          <w:i w:val="0"/>
          <w:color w:val="000000"/>
          <w:sz w:val="22"/>
          <w:szCs w:val="22"/>
        </w:rPr>
        <w:lastRenderedPageBreak/>
        <w:t>execução do objeto, do plano complementar de execução da contratada, quando houver, do método de aferição dos resultados e das sanções aplicáveis, dentre outros.</w:t>
      </w:r>
    </w:p>
    <w:p w14:paraId="33E8D8A6" w14:textId="77777777" w:rsidR="006B4536" w:rsidRDefault="006B4536" w:rsidP="006B4536">
      <w:pPr>
        <w:pStyle w:val="Nvel2-Red"/>
        <w:tabs>
          <w:tab w:val="left" w:pos="426"/>
        </w:tabs>
        <w:spacing w:line="240" w:lineRule="exact"/>
        <w:rPr>
          <w:rFonts w:asciiTheme="majorHAnsi" w:hAnsiTheme="majorHAnsi" w:cstheme="majorHAnsi"/>
          <w:b/>
          <w:i w:val="0"/>
          <w:iCs w:val="0"/>
          <w:color w:val="000000"/>
          <w:sz w:val="22"/>
          <w:szCs w:val="22"/>
        </w:rPr>
      </w:pPr>
    </w:p>
    <w:p w14:paraId="3694A9C8" w14:textId="389E81DD" w:rsidR="006B4536" w:rsidRPr="006B4536" w:rsidRDefault="006B4536" w:rsidP="006B4536">
      <w:pPr>
        <w:pStyle w:val="Nvel2-Red"/>
        <w:tabs>
          <w:tab w:val="left" w:pos="426"/>
        </w:tabs>
        <w:spacing w:line="240" w:lineRule="exact"/>
        <w:rPr>
          <w:rFonts w:asciiTheme="majorHAnsi" w:hAnsiTheme="majorHAnsi" w:cstheme="majorHAnsi"/>
          <w:b/>
          <w:i w:val="0"/>
          <w:iCs w:val="0"/>
          <w:color w:val="000000"/>
          <w:sz w:val="22"/>
          <w:szCs w:val="22"/>
        </w:rPr>
      </w:pPr>
      <w:r w:rsidRPr="006B4536">
        <w:rPr>
          <w:rFonts w:asciiTheme="majorHAnsi" w:hAnsiTheme="majorHAnsi" w:cstheme="majorHAnsi"/>
          <w:b/>
          <w:i w:val="0"/>
          <w:iCs w:val="0"/>
          <w:color w:val="000000"/>
          <w:sz w:val="22"/>
          <w:szCs w:val="22"/>
        </w:rPr>
        <w:t>Fiscalização</w:t>
      </w:r>
    </w:p>
    <w:p w14:paraId="0944958B" w14:textId="20D74732" w:rsidR="003F2EEF"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A execução do contrato deverá ser acompanhada e fiscalizada pelo(s) fiscal(is) do contrato, ou pelos respectivos substitutos (</w:t>
      </w:r>
      <w:hyperlink r:id="rId16" w:anchor="art117" w:history="1">
        <w:r w:rsidRPr="00237AA8">
          <w:rPr>
            <w:rStyle w:val="LinkdaInternet"/>
            <w:rFonts w:asciiTheme="majorHAnsi" w:hAnsiTheme="majorHAnsi" w:cstheme="majorHAnsi"/>
            <w:sz w:val="22"/>
            <w:szCs w:val="22"/>
          </w:rPr>
          <w:t>Lei nº 14.133, de 2021, art. 117, caput</w:t>
        </w:r>
      </w:hyperlink>
      <w:r w:rsidRPr="00237AA8">
        <w:rPr>
          <w:rFonts w:asciiTheme="majorHAnsi" w:hAnsiTheme="majorHAnsi" w:cstheme="majorHAnsi"/>
          <w:sz w:val="22"/>
          <w:szCs w:val="22"/>
        </w:rPr>
        <w:t>).</w:t>
      </w:r>
    </w:p>
    <w:p w14:paraId="7DD3082D" w14:textId="6DBC670F" w:rsidR="0066283F" w:rsidRPr="0066283F" w:rsidRDefault="0066283F" w:rsidP="0066283F">
      <w:pPr>
        <w:pStyle w:val="Nivel2"/>
        <w:tabs>
          <w:tab w:val="left" w:pos="426"/>
        </w:tabs>
        <w:spacing w:line="312" w:lineRule="auto"/>
        <w:rPr>
          <w:rFonts w:asciiTheme="majorHAnsi" w:hAnsiTheme="majorHAnsi" w:cstheme="majorHAnsi"/>
          <w:b/>
          <w:sz w:val="22"/>
          <w:szCs w:val="22"/>
        </w:rPr>
      </w:pPr>
      <w:r w:rsidRPr="0066283F">
        <w:rPr>
          <w:rFonts w:asciiTheme="majorHAnsi" w:hAnsiTheme="majorHAnsi" w:cstheme="majorHAnsi"/>
          <w:b/>
          <w:sz w:val="22"/>
          <w:szCs w:val="22"/>
        </w:rPr>
        <w:t>Fiscalização Técnica</w:t>
      </w:r>
    </w:p>
    <w:p w14:paraId="27299AE3"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0227C272" w14:textId="77777777" w:rsidR="003F2EEF" w:rsidRPr="00237AA8" w:rsidRDefault="006F1B16" w:rsidP="00EF5184">
      <w:pPr>
        <w:pStyle w:val="Nivel3"/>
        <w:numPr>
          <w:ilvl w:val="2"/>
          <w:numId w:val="1"/>
        </w:numPr>
        <w:tabs>
          <w:tab w:val="left" w:pos="426"/>
          <w:tab w:val="left" w:pos="1134"/>
        </w:tabs>
        <w:spacing w:line="240" w:lineRule="exact"/>
        <w:ind w:left="425" w:firstLine="0"/>
        <w:rPr>
          <w:rFonts w:asciiTheme="majorHAnsi" w:hAnsiTheme="majorHAnsi" w:cstheme="majorHAnsi"/>
          <w:sz w:val="22"/>
          <w:szCs w:val="22"/>
        </w:rPr>
      </w:pPr>
      <w:r w:rsidRPr="00237AA8">
        <w:rPr>
          <w:rFonts w:asciiTheme="majorHAnsi" w:hAnsiTheme="majorHAnsi" w:cstheme="maj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hyperlink r:id="rId17" w:anchor="art117§1" w:history="1">
        <w:r w:rsidRPr="00237AA8">
          <w:rPr>
            <w:rStyle w:val="LinkdaInternet"/>
            <w:rFonts w:asciiTheme="majorHAnsi" w:hAnsiTheme="majorHAnsi" w:cstheme="majorHAnsi"/>
            <w:sz w:val="22"/>
            <w:szCs w:val="22"/>
          </w:rPr>
          <w:t>Lei nº 14.133, de 2021, art. 117, §1º</w:t>
        </w:r>
      </w:hyperlink>
      <w:r w:rsidRPr="00237AA8">
        <w:rPr>
          <w:rFonts w:asciiTheme="majorHAnsi" w:hAnsiTheme="majorHAnsi" w:cstheme="majorHAnsi"/>
          <w:sz w:val="22"/>
          <w:szCs w:val="22"/>
        </w:rPr>
        <w:t xml:space="preserve">, e </w:t>
      </w:r>
      <w:hyperlink r:id="rId18" w:anchor="art22" w:history="1">
        <w:r w:rsidRPr="00237AA8">
          <w:rPr>
            <w:rStyle w:val="LinkdaInternet"/>
            <w:rFonts w:asciiTheme="majorHAnsi" w:hAnsiTheme="majorHAnsi" w:cstheme="majorHAnsi"/>
            <w:sz w:val="22"/>
            <w:szCs w:val="22"/>
          </w:rPr>
          <w:t>Decreto nº 11.246, de 2022, art. 22, II);</w:t>
        </w:r>
      </w:hyperlink>
    </w:p>
    <w:p w14:paraId="4A5B49EF" w14:textId="77777777" w:rsidR="003F2EEF" w:rsidRPr="00237AA8" w:rsidRDefault="006F1B16" w:rsidP="00EF5184">
      <w:pPr>
        <w:pStyle w:val="Nivel3"/>
        <w:numPr>
          <w:ilvl w:val="2"/>
          <w:numId w:val="1"/>
        </w:numPr>
        <w:tabs>
          <w:tab w:val="left" w:pos="426"/>
          <w:tab w:val="left" w:pos="1134"/>
        </w:tabs>
        <w:spacing w:line="240" w:lineRule="exact"/>
        <w:ind w:left="425" w:firstLine="0"/>
        <w:rPr>
          <w:rFonts w:asciiTheme="majorHAnsi" w:hAnsiTheme="majorHAnsi" w:cstheme="majorHAnsi"/>
          <w:sz w:val="22"/>
          <w:szCs w:val="22"/>
        </w:rPr>
      </w:pPr>
      <w:r w:rsidRPr="00237AA8">
        <w:rPr>
          <w:rFonts w:asciiTheme="majorHAnsi" w:hAnsiTheme="majorHAnsi" w:cstheme="majorHAnsi"/>
          <w:sz w:val="22"/>
          <w:szCs w:val="22"/>
        </w:rPr>
        <w:t>Identificada qualquer inexatidão ou irregularidade, o fiscal técnico do contrato emitirá notificações para a correção da execução do contrato, determinando prazo para a correção. (</w:t>
      </w:r>
      <w:hyperlink r:id="rId19" w:anchor="art22" w:history="1">
        <w:r w:rsidRPr="00237AA8">
          <w:rPr>
            <w:rStyle w:val="LinkdaInternet"/>
            <w:rFonts w:asciiTheme="majorHAnsi" w:hAnsiTheme="majorHAnsi" w:cstheme="majorHAnsi"/>
            <w:sz w:val="22"/>
            <w:szCs w:val="22"/>
          </w:rPr>
          <w:t>Decreto nº 11.246, de 2022, art. 22, III</w:t>
        </w:r>
      </w:hyperlink>
      <w:r w:rsidRPr="00237AA8">
        <w:rPr>
          <w:rFonts w:asciiTheme="majorHAnsi" w:hAnsiTheme="majorHAnsi" w:cstheme="majorHAnsi"/>
          <w:sz w:val="22"/>
          <w:szCs w:val="22"/>
        </w:rPr>
        <w:t xml:space="preserve">); </w:t>
      </w:r>
    </w:p>
    <w:p w14:paraId="2B302A59" w14:textId="77777777" w:rsidR="003F2EEF" w:rsidRPr="00237AA8" w:rsidRDefault="006F1B16" w:rsidP="00EF5184">
      <w:pPr>
        <w:pStyle w:val="Nivel3"/>
        <w:numPr>
          <w:ilvl w:val="2"/>
          <w:numId w:val="1"/>
        </w:numPr>
        <w:tabs>
          <w:tab w:val="left" w:pos="426"/>
          <w:tab w:val="left" w:pos="1134"/>
        </w:tabs>
        <w:spacing w:line="240" w:lineRule="exact"/>
        <w:ind w:left="425" w:firstLine="0"/>
        <w:rPr>
          <w:rFonts w:asciiTheme="majorHAnsi" w:hAnsiTheme="majorHAnsi" w:cstheme="majorHAnsi"/>
          <w:sz w:val="22"/>
          <w:szCs w:val="22"/>
        </w:rPr>
      </w:pPr>
      <w:r w:rsidRPr="00237AA8">
        <w:rPr>
          <w:rFonts w:asciiTheme="majorHAnsi" w:hAnsiTheme="majorHAnsi" w:cstheme="majorHAnsi"/>
          <w:sz w:val="22"/>
          <w:szCs w:val="22"/>
        </w:rPr>
        <w:t>O fiscal técnico do contrato informará ao gestor do contato, em tempo hábil, a situação que demandar decisão ou adoção de medidas que ultrapassem sua competência, para que adote as medidas necessárias e saneadoras, se for o caso. (</w:t>
      </w:r>
      <w:hyperlink r:id="rId20" w:anchor="art22" w:history="1">
        <w:r w:rsidRPr="00237AA8">
          <w:rPr>
            <w:rStyle w:val="LinkdaInternet"/>
            <w:rFonts w:asciiTheme="majorHAnsi" w:hAnsiTheme="majorHAnsi" w:cstheme="majorHAnsi"/>
            <w:sz w:val="22"/>
            <w:szCs w:val="22"/>
          </w:rPr>
          <w:t>Decreto nº 11.246, de 2022, art. 22, IV</w:t>
        </w:r>
      </w:hyperlink>
      <w:r w:rsidRPr="00237AA8">
        <w:rPr>
          <w:rFonts w:asciiTheme="majorHAnsi" w:hAnsiTheme="majorHAnsi" w:cstheme="majorHAnsi"/>
          <w:sz w:val="22"/>
          <w:szCs w:val="22"/>
        </w:rPr>
        <w:t>).</w:t>
      </w:r>
    </w:p>
    <w:p w14:paraId="71D55E9D" w14:textId="77777777" w:rsidR="003F2EEF" w:rsidRPr="00237AA8" w:rsidRDefault="006F1B16" w:rsidP="00EF5184">
      <w:pPr>
        <w:pStyle w:val="Nivel3"/>
        <w:numPr>
          <w:ilvl w:val="2"/>
          <w:numId w:val="1"/>
        </w:numPr>
        <w:tabs>
          <w:tab w:val="left" w:pos="426"/>
          <w:tab w:val="left" w:pos="1134"/>
        </w:tabs>
        <w:spacing w:line="240" w:lineRule="exact"/>
        <w:ind w:left="425" w:firstLine="0"/>
        <w:rPr>
          <w:rFonts w:asciiTheme="majorHAnsi" w:hAnsiTheme="majorHAnsi" w:cstheme="majorHAnsi"/>
          <w:sz w:val="22"/>
          <w:szCs w:val="22"/>
        </w:rPr>
      </w:pPr>
      <w:r w:rsidRPr="00237AA8">
        <w:rPr>
          <w:rFonts w:asciiTheme="majorHAnsi" w:hAnsiTheme="majorHAnsi" w:cstheme="majorHAnsi"/>
          <w:sz w:val="22"/>
          <w:szCs w:val="22"/>
        </w:rPr>
        <w:t>No caso de ocorrências que possam inviabilizar a execução do contrato nas datas aprazadas, o fiscal técnico do contrato comunicará o fato imediatamente ao gestor do contrato. (</w:t>
      </w:r>
      <w:hyperlink r:id="rId21" w:anchor="art22" w:history="1">
        <w:r w:rsidRPr="00237AA8">
          <w:rPr>
            <w:rStyle w:val="LinkdaInternet"/>
            <w:rFonts w:asciiTheme="majorHAnsi" w:hAnsiTheme="majorHAnsi" w:cstheme="majorHAnsi"/>
            <w:sz w:val="22"/>
            <w:szCs w:val="22"/>
          </w:rPr>
          <w:t>Decreto nº 11.246, de 2022, art. 22, V</w:t>
        </w:r>
      </w:hyperlink>
      <w:r w:rsidRPr="00237AA8">
        <w:rPr>
          <w:rFonts w:asciiTheme="majorHAnsi" w:hAnsiTheme="majorHAnsi" w:cstheme="majorHAnsi"/>
          <w:sz w:val="22"/>
          <w:szCs w:val="22"/>
        </w:rPr>
        <w:t>).</w:t>
      </w:r>
    </w:p>
    <w:p w14:paraId="219B956A" w14:textId="29474622" w:rsidR="003F2EEF" w:rsidRDefault="006F1B16" w:rsidP="00EF5184">
      <w:pPr>
        <w:pStyle w:val="Nivel3"/>
        <w:numPr>
          <w:ilvl w:val="2"/>
          <w:numId w:val="1"/>
        </w:numPr>
        <w:tabs>
          <w:tab w:val="left" w:pos="426"/>
          <w:tab w:val="left" w:pos="1134"/>
        </w:tabs>
        <w:spacing w:line="240" w:lineRule="exact"/>
        <w:ind w:left="425" w:firstLine="0"/>
        <w:rPr>
          <w:rFonts w:asciiTheme="majorHAnsi" w:hAnsiTheme="majorHAnsi" w:cstheme="majorHAnsi"/>
          <w:sz w:val="22"/>
          <w:szCs w:val="22"/>
        </w:rPr>
      </w:pPr>
      <w:r w:rsidRPr="00237AA8">
        <w:rPr>
          <w:rFonts w:asciiTheme="majorHAnsi" w:hAnsiTheme="majorHAnsi" w:cstheme="majorHAnsi"/>
          <w:sz w:val="22"/>
          <w:szCs w:val="22"/>
        </w:rPr>
        <w:t xml:space="preserve">O fiscal técnico do contrato comunicar ao gestor do contrato, em tempo hábil, o término do contrato sob sua responsabilidade, com vistas à renovação tempestiva ou à prorrogação contratual </w:t>
      </w:r>
      <w:hyperlink r:id="rId22" w:anchor="art22" w:history="1">
        <w:r w:rsidRPr="00237AA8">
          <w:rPr>
            <w:rStyle w:val="LinkdaInternet"/>
            <w:rFonts w:asciiTheme="majorHAnsi" w:hAnsiTheme="majorHAnsi" w:cstheme="majorHAnsi"/>
            <w:sz w:val="22"/>
            <w:szCs w:val="22"/>
          </w:rPr>
          <w:t>(Decreto nº 11.246, de 2022, art. 22, VII</w:t>
        </w:r>
      </w:hyperlink>
      <w:r w:rsidRPr="00237AA8">
        <w:rPr>
          <w:rFonts w:asciiTheme="majorHAnsi" w:hAnsiTheme="majorHAnsi" w:cstheme="majorHAnsi"/>
          <w:sz w:val="22"/>
          <w:szCs w:val="22"/>
        </w:rPr>
        <w:t>).</w:t>
      </w:r>
    </w:p>
    <w:p w14:paraId="2E5A59D3" w14:textId="77777777" w:rsidR="00AB6946" w:rsidRDefault="00AB6946" w:rsidP="00AB6946">
      <w:pPr>
        <w:pStyle w:val="Nivel3"/>
        <w:tabs>
          <w:tab w:val="left" w:pos="426"/>
          <w:tab w:val="left" w:pos="1134"/>
        </w:tabs>
        <w:spacing w:line="240" w:lineRule="exact"/>
        <w:rPr>
          <w:rFonts w:asciiTheme="majorHAnsi" w:hAnsiTheme="majorHAnsi" w:cstheme="majorHAnsi"/>
          <w:sz w:val="22"/>
          <w:szCs w:val="22"/>
        </w:rPr>
      </w:pPr>
    </w:p>
    <w:p w14:paraId="2E2B6016" w14:textId="75908678" w:rsidR="00AB6946" w:rsidRPr="00AB6946" w:rsidRDefault="00AB6946" w:rsidP="00AB6946">
      <w:pPr>
        <w:pStyle w:val="Nivel3"/>
        <w:tabs>
          <w:tab w:val="left" w:pos="993"/>
          <w:tab w:val="left" w:pos="1134"/>
        </w:tabs>
        <w:spacing w:line="240" w:lineRule="exact"/>
        <w:ind w:left="0"/>
        <w:rPr>
          <w:rFonts w:asciiTheme="majorHAnsi" w:hAnsiTheme="majorHAnsi" w:cstheme="majorHAnsi"/>
          <w:b/>
          <w:sz w:val="22"/>
          <w:szCs w:val="22"/>
        </w:rPr>
      </w:pPr>
      <w:r w:rsidRPr="00AB6946">
        <w:rPr>
          <w:rFonts w:asciiTheme="majorHAnsi" w:hAnsiTheme="majorHAnsi" w:cstheme="majorHAnsi"/>
          <w:b/>
          <w:sz w:val="22"/>
          <w:szCs w:val="22"/>
        </w:rPr>
        <w:t>Fiscalização Administrativa</w:t>
      </w:r>
    </w:p>
    <w:p w14:paraId="68BFB808"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3" w:anchor="art23" w:history="1">
        <w:r w:rsidRPr="00237AA8">
          <w:rPr>
            <w:rStyle w:val="LinkdaInternet"/>
            <w:rFonts w:asciiTheme="majorHAnsi" w:hAnsiTheme="majorHAnsi" w:cstheme="majorHAnsi"/>
            <w:sz w:val="22"/>
            <w:szCs w:val="22"/>
          </w:rPr>
          <w:t>Art. 23, I e II, do Decreto nº 11.246, de 2022</w:t>
        </w:r>
      </w:hyperlink>
      <w:r w:rsidRPr="00237AA8">
        <w:rPr>
          <w:rFonts w:asciiTheme="majorHAnsi" w:hAnsiTheme="majorHAnsi" w:cstheme="majorHAnsi"/>
          <w:sz w:val="22"/>
          <w:szCs w:val="22"/>
        </w:rPr>
        <w:t>).</w:t>
      </w:r>
    </w:p>
    <w:p w14:paraId="1E03F169" w14:textId="12D1A004" w:rsidR="003F2EEF" w:rsidRDefault="006F1B16" w:rsidP="00AB6946">
      <w:pPr>
        <w:pStyle w:val="Nivel3"/>
        <w:numPr>
          <w:ilvl w:val="2"/>
          <w:numId w:val="1"/>
        </w:numPr>
        <w:tabs>
          <w:tab w:val="left" w:pos="426"/>
        </w:tabs>
        <w:spacing w:line="240" w:lineRule="exact"/>
        <w:ind w:left="426" w:firstLine="0"/>
        <w:rPr>
          <w:rFonts w:asciiTheme="majorHAnsi" w:hAnsiTheme="majorHAnsi" w:cstheme="majorHAnsi"/>
          <w:sz w:val="22"/>
          <w:szCs w:val="22"/>
        </w:rPr>
      </w:pPr>
      <w:r w:rsidRPr="00237AA8">
        <w:rPr>
          <w:rFonts w:asciiTheme="majorHAnsi" w:hAnsiTheme="majorHAnsi" w:cstheme="majorHAnsi"/>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24" w:anchor="art23" w:history="1">
        <w:r w:rsidRPr="00237AA8">
          <w:rPr>
            <w:rStyle w:val="LinkdaInternet"/>
            <w:rFonts w:asciiTheme="majorHAnsi" w:hAnsiTheme="majorHAnsi" w:cstheme="majorHAnsi"/>
            <w:sz w:val="22"/>
            <w:szCs w:val="22"/>
          </w:rPr>
          <w:t>Decreto nº 11.246, de 2022, art. 23, IV</w:t>
        </w:r>
      </w:hyperlink>
      <w:r w:rsidRPr="00237AA8">
        <w:rPr>
          <w:rFonts w:asciiTheme="majorHAnsi" w:hAnsiTheme="majorHAnsi" w:cstheme="majorHAnsi"/>
          <w:sz w:val="22"/>
          <w:szCs w:val="22"/>
        </w:rPr>
        <w:t>).</w:t>
      </w:r>
    </w:p>
    <w:p w14:paraId="3E7C4C2E" w14:textId="77777777" w:rsidR="006B4536" w:rsidRDefault="006B4536" w:rsidP="00962B73">
      <w:pPr>
        <w:pStyle w:val="Nivel3"/>
        <w:tabs>
          <w:tab w:val="left" w:pos="709"/>
        </w:tabs>
        <w:spacing w:line="240" w:lineRule="exact"/>
        <w:ind w:left="0"/>
        <w:rPr>
          <w:rFonts w:asciiTheme="majorHAnsi" w:hAnsiTheme="majorHAnsi" w:cstheme="majorHAnsi"/>
          <w:b/>
          <w:sz w:val="22"/>
          <w:szCs w:val="22"/>
        </w:rPr>
      </w:pPr>
    </w:p>
    <w:p w14:paraId="0EF46C42" w14:textId="71ED7A5E" w:rsidR="00962B73" w:rsidRPr="00962B73" w:rsidRDefault="00962B73" w:rsidP="00962B73">
      <w:pPr>
        <w:pStyle w:val="Nivel3"/>
        <w:tabs>
          <w:tab w:val="left" w:pos="709"/>
        </w:tabs>
        <w:spacing w:line="240" w:lineRule="exact"/>
        <w:ind w:left="0"/>
        <w:rPr>
          <w:rFonts w:asciiTheme="majorHAnsi" w:hAnsiTheme="majorHAnsi" w:cstheme="majorHAnsi"/>
          <w:b/>
          <w:sz w:val="22"/>
          <w:szCs w:val="22"/>
        </w:rPr>
      </w:pPr>
      <w:r w:rsidRPr="00962B73">
        <w:rPr>
          <w:rFonts w:asciiTheme="majorHAnsi" w:hAnsiTheme="majorHAnsi" w:cstheme="majorHAnsi"/>
          <w:b/>
          <w:sz w:val="22"/>
          <w:szCs w:val="22"/>
        </w:rPr>
        <w:t>Gestor de Contrato</w:t>
      </w:r>
    </w:p>
    <w:p w14:paraId="18510F35"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w:t>
      </w:r>
      <w:r w:rsidRPr="00237AA8">
        <w:rPr>
          <w:rFonts w:asciiTheme="majorHAnsi" w:hAnsiTheme="majorHAnsi" w:cstheme="majorHAnsi"/>
          <w:sz w:val="22"/>
          <w:szCs w:val="22"/>
        </w:rPr>
        <w:lastRenderedPageBreak/>
        <w:t>elaborando relatório com vistas à verificação da necessidade de adequações do contrato para fins de atendimento da finalidade da administração. (</w:t>
      </w:r>
      <w:hyperlink r:id="rId25" w:anchor="art21" w:history="1">
        <w:r w:rsidRPr="00237AA8">
          <w:rPr>
            <w:rStyle w:val="LinkdaInternet"/>
            <w:rFonts w:asciiTheme="majorHAnsi" w:hAnsiTheme="majorHAnsi" w:cstheme="majorHAnsi"/>
            <w:sz w:val="22"/>
            <w:szCs w:val="22"/>
          </w:rPr>
          <w:t>Decreto nº 11.246, de 2022, art. 21, IV</w:t>
        </w:r>
      </w:hyperlink>
      <w:r w:rsidRPr="00237AA8">
        <w:rPr>
          <w:rFonts w:asciiTheme="majorHAnsi" w:hAnsiTheme="majorHAnsi" w:cstheme="majorHAnsi"/>
          <w:sz w:val="22"/>
          <w:szCs w:val="22"/>
        </w:rPr>
        <w:t>).</w:t>
      </w:r>
    </w:p>
    <w:p w14:paraId="78C1115C" w14:textId="41802738" w:rsidR="003F2EEF" w:rsidRPr="00237AA8" w:rsidRDefault="006F1B16" w:rsidP="00745CC8">
      <w:pPr>
        <w:pStyle w:val="Nivel3"/>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26" w:anchor="art21" w:history="1">
        <w:r w:rsidRPr="00237AA8">
          <w:rPr>
            <w:rStyle w:val="LinkdaInternet"/>
            <w:rFonts w:asciiTheme="majorHAnsi" w:hAnsiTheme="majorHAnsi" w:cstheme="majorHAnsi"/>
            <w:sz w:val="22"/>
            <w:szCs w:val="22"/>
          </w:rPr>
          <w:t>Decreto nº 11.246, de 2022, art. 21, III</w:t>
        </w:r>
      </w:hyperlink>
      <w:r w:rsidRPr="00237AA8">
        <w:rPr>
          <w:rFonts w:asciiTheme="majorHAnsi" w:hAnsiTheme="majorHAnsi" w:cstheme="majorHAnsi"/>
          <w:sz w:val="22"/>
          <w:szCs w:val="22"/>
        </w:rPr>
        <w:t>).</w:t>
      </w:r>
    </w:p>
    <w:p w14:paraId="21C3DD9A" w14:textId="08AC957F" w:rsidR="003F2EEF" w:rsidRPr="00237AA8" w:rsidRDefault="006F1B16" w:rsidP="00745CC8">
      <w:pPr>
        <w:pStyle w:val="Nivel3"/>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27" w:anchor="art21" w:history="1">
        <w:r w:rsidRPr="00237AA8">
          <w:rPr>
            <w:rStyle w:val="LinkdaInternet"/>
            <w:rFonts w:asciiTheme="majorHAnsi" w:hAnsiTheme="majorHAnsi" w:cstheme="majorHAnsi"/>
            <w:sz w:val="22"/>
            <w:szCs w:val="22"/>
          </w:rPr>
          <w:t>Decreto nº 11.246, de 2022, art. 21, II</w:t>
        </w:r>
      </w:hyperlink>
      <w:r w:rsidRPr="00237AA8">
        <w:rPr>
          <w:rFonts w:asciiTheme="majorHAnsi" w:hAnsiTheme="majorHAnsi" w:cstheme="majorHAnsi"/>
          <w:sz w:val="22"/>
          <w:szCs w:val="22"/>
        </w:rPr>
        <w:t>).</w:t>
      </w:r>
    </w:p>
    <w:p w14:paraId="72191510" w14:textId="2D3857BF" w:rsidR="003F2EEF" w:rsidRPr="00237AA8" w:rsidRDefault="006F1B16" w:rsidP="00745CC8">
      <w:pPr>
        <w:pStyle w:val="Nivel3"/>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8" w:anchor="art21" w:history="1">
        <w:r w:rsidRPr="00237AA8">
          <w:rPr>
            <w:rStyle w:val="LinkdaInternet"/>
            <w:rFonts w:asciiTheme="majorHAnsi" w:hAnsiTheme="majorHAnsi" w:cstheme="majorHAnsi"/>
            <w:sz w:val="22"/>
            <w:szCs w:val="22"/>
          </w:rPr>
          <w:t>Decreto nº 11.246, de 2022, art. 21, VIII</w:t>
        </w:r>
      </w:hyperlink>
      <w:r w:rsidRPr="00237AA8">
        <w:rPr>
          <w:rFonts w:asciiTheme="majorHAnsi" w:hAnsiTheme="majorHAnsi" w:cstheme="majorHAnsi"/>
          <w:sz w:val="22"/>
          <w:szCs w:val="22"/>
        </w:rPr>
        <w:t>).</w:t>
      </w:r>
    </w:p>
    <w:p w14:paraId="474A08E3" w14:textId="3738C4F8" w:rsidR="003F2EEF" w:rsidRPr="00237AA8" w:rsidRDefault="006F1B16" w:rsidP="00745CC8">
      <w:pPr>
        <w:pStyle w:val="Nivel3"/>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9" w:anchor="art21" w:history="1">
        <w:r w:rsidRPr="00237AA8">
          <w:rPr>
            <w:rStyle w:val="LinkdaInternet"/>
            <w:rFonts w:asciiTheme="majorHAnsi" w:hAnsiTheme="majorHAnsi" w:cstheme="majorHAnsi"/>
            <w:sz w:val="22"/>
            <w:szCs w:val="22"/>
          </w:rPr>
          <w:t>Decreto nº 11.246, de 2022, art. 21, X</w:t>
        </w:r>
      </w:hyperlink>
      <w:r w:rsidRPr="00237AA8">
        <w:rPr>
          <w:rFonts w:asciiTheme="majorHAnsi" w:hAnsiTheme="majorHAnsi" w:cstheme="majorHAnsi"/>
          <w:sz w:val="22"/>
          <w:szCs w:val="22"/>
        </w:rPr>
        <w:t>).</w:t>
      </w:r>
    </w:p>
    <w:p w14:paraId="7E43D2E3"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fiscal administrativo do contrato comunicará ao gestor do contrato, em tempo hábil, o término do contrato sob sua responsabilidade, com vistas à tempestiva renovação ou prorrogação contratual. (</w:t>
      </w:r>
      <w:hyperlink r:id="rId30" w:anchor="art22" w:history="1">
        <w:r w:rsidRPr="00237AA8">
          <w:rPr>
            <w:rStyle w:val="LinkdaInternet"/>
            <w:rFonts w:asciiTheme="majorHAnsi" w:hAnsiTheme="majorHAnsi" w:cstheme="majorHAnsi"/>
            <w:sz w:val="22"/>
            <w:szCs w:val="22"/>
          </w:rPr>
          <w:t>Decreto nº 11.246, de 2022, art. 22, VII</w:t>
        </w:r>
      </w:hyperlink>
      <w:r w:rsidRPr="00237AA8">
        <w:rPr>
          <w:rFonts w:asciiTheme="majorHAnsi" w:hAnsiTheme="majorHAnsi" w:cstheme="majorHAnsi"/>
          <w:sz w:val="22"/>
          <w:szCs w:val="22"/>
        </w:rPr>
        <w:t>).</w:t>
      </w:r>
    </w:p>
    <w:p w14:paraId="0AFE5A49" w14:textId="1587CCA4" w:rsidR="003F2EEF"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gestor do contrato deverá elaborará relatório final com informações sobre a consecução dos objetivos que tenham justificado a contratação e eventuais condutas a serem adotadas para o aprimoramento das atividades da Administração. (</w:t>
      </w:r>
      <w:hyperlink r:id="rId31" w:anchor="art21" w:history="1">
        <w:r w:rsidRPr="00237AA8">
          <w:rPr>
            <w:rStyle w:val="LinkdaInternet"/>
            <w:rFonts w:asciiTheme="majorHAnsi" w:hAnsiTheme="majorHAnsi" w:cstheme="majorHAnsi"/>
            <w:sz w:val="22"/>
            <w:szCs w:val="22"/>
          </w:rPr>
          <w:t>Decreto nº 11.246, de 2022, art. 21, VI</w:t>
        </w:r>
      </w:hyperlink>
      <w:r w:rsidRPr="00237AA8">
        <w:rPr>
          <w:rFonts w:asciiTheme="majorHAnsi" w:hAnsiTheme="majorHAnsi" w:cstheme="majorHAnsi"/>
          <w:sz w:val="22"/>
          <w:szCs w:val="22"/>
        </w:rPr>
        <w:t>).</w:t>
      </w:r>
    </w:p>
    <w:p w14:paraId="15C272B7" w14:textId="77777777" w:rsidR="00EF5184" w:rsidRPr="00237AA8" w:rsidRDefault="00EF5184" w:rsidP="00EF5184">
      <w:pPr>
        <w:pStyle w:val="Nivel2"/>
        <w:tabs>
          <w:tab w:val="left" w:pos="426"/>
        </w:tabs>
        <w:spacing w:line="240" w:lineRule="exact"/>
        <w:rPr>
          <w:rFonts w:asciiTheme="majorHAnsi" w:hAnsiTheme="majorHAnsi" w:cstheme="majorHAnsi"/>
          <w:sz w:val="22"/>
          <w:szCs w:val="22"/>
        </w:rPr>
      </w:pPr>
    </w:p>
    <w:p w14:paraId="5ADA53E5" w14:textId="77777777" w:rsidR="003F2EEF" w:rsidRPr="00237AA8" w:rsidRDefault="006F1B16" w:rsidP="00A65C86">
      <w:pPr>
        <w:pStyle w:val="Nivel01"/>
        <w:numPr>
          <w:ilvl w:val="0"/>
          <w:numId w:val="1"/>
        </w:numPr>
        <w:tabs>
          <w:tab w:val="left" w:pos="426"/>
        </w:tabs>
        <w:spacing w:before="120" w:after="120" w:line="312" w:lineRule="auto"/>
        <w:ind w:left="0" w:firstLine="0"/>
        <w:rPr>
          <w:rFonts w:asciiTheme="majorHAnsi" w:hAnsiTheme="majorHAnsi" w:cstheme="majorHAnsi"/>
          <w:sz w:val="22"/>
          <w:szCs w:val="22"/>
        </w:rPr>
      </w:pPr>
      <w:r w:rsidRPr="00237AA8">
        <w:rPr>
          <w:rFonts w:asciiTheme="majorHAnsi" w:hAnsiTheme="majorHAnsi" w:cstheme="majorHAnsi"/>
          <w:sz w:val="22"/>
          <w:szCs w:val="22"/>
        </w:rPr>
        <w:t>CRITÉRIOS DE MEDIÇÃO E DE PAGAMENTO</w:t>
      </w:r>
    </w:p>
    <w:p w14:paraId="04D16CEF" w14:textId="638E5CB5" w:rsidR="003F2EEF" w:rsidRPr="00237AA8" w:rsidRDefault="006F1B16" w:rsidP="00A65C86">
      <w:pPr>
        <w:pStyle w:val="Nvel1-SemNum"/>
        <w:tabs>
          <w:tab w:val="left" w:pos="426"/>
        </w:tabs>
        <w:spacing w:before="120" w:after="120" w:line="312" w:lineRule="auto"/>
        <w:ind w:left="0"/>
        <w:rPr>
          <w:rFonts w:asciiTheme="majorHAnsi" w:hAnsiTheme="majorHAnsi" w:cstheme="majorHAnsi"/>
          <w:color w:val="00000A"/>
          <w:sz w:val="22"/>
          <w:szCs w:val="22"/>
          <w:lang w:eastAsia="en-US"/>
        </w:rPr>
      </w:pPr>
      <w:r w:rsidRPr="00237AA8">
        <w:rPr>
          <w:rFonts w:asciiTheme="majorHAnsi" w:hAnsiTheme="majorHAnsi" w:cstheme="majorHAnsi"/>
          <w:color w:val="00000A"/>
          <w:sz w:val="22"/>
          <w:szCs w:val="22"/>
          <w:lang w:eastAsia="en-US"/>
        </w:rPr>
        <w:t>Recebimento</w:t>
      </w:r>
    </w:p>
    <w:p w14:paraId="714CC026" w14:textId="47EC1DE4"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 xml:space="preserve">Os bens serão recebidos provisoriamente, de forma sumária, no ato da entrega, juntamente com a </w:t>
      </w:r>
      <w:r w:rsidRPr="00237AA8">
        <w:rPr>
          <w:rFonts w:asciiTheme="majorHAnsi" w:eastAsia="Calibri" w:hAnsiTheme="majorHAnsi" w:cstheme="majorHAnsi"/>
          <w:sz w:val="22"/>
          <w:szCs w:val="22"/>
          <w:lang w:eastAsia="en-US"/>
        </w:rPr>
        <w:t>nota</w:t>
      </w:r>
      <w:r w:rsidRPr="00237AA8">
        <w:rPr>
          <w:rFonts w:asciiTheme="majorHAnsi" w:hAnsiTheme="majorHAnsi" w:cstheme="majorHAnsi"/>
          <w:sz w:val="22"/>
          <w:szCs w:val="22"/>
          <w:lang w:eastAsia="en-US"/>
        </w:rPr>
        <w:t xml:space="preserve"> fiscal ou instrumento de cobrança equivalente pelo(a) responsável pelo acompanhamento e fiscalização do contrato, para efeito de posterior verificação de sua conformidade com as especificações constantes </w:t>
      </w:r>
      <w:r w:rsidR="00EA6367">
        <w:rPr>
          <w:rFonts w:asciiTheme="majorHAnsi" w:hAnsiTheme="majorHAnsi" w:cstheme="majorHAnsi"/>
          <w:sz w:val="22"/>
          <w:szCs w:val="22"/>
          <w:lang w:eastAsia="en-US"/>
        </w:rPr>
        <w:t>na solicitação</w:t>
      </w:r>
      <w:r w:rsidR="0051566A">
        <w:rPr>
          <w:rFonts w:asciiTheme="majorHAnsi" w:hAnsiTheme="majorHAnsi" w:cstheme="majorHAnsi"/>
          <w:sz w:val="22"/>
          <w:szCs w:val="22"/>
          <w:lang w:eastAsia="en-US"/>
        </w:rPr>
        <w:t xml:space="preserve"> do item</w:t>
      </w:r>
      <w:r w:rsidR="00EA6367">
        <w:rPr>
          <w:rFonts w:asciiTheme="majorHAnsi" w:hAnsiTheme="majorHAnsi" w:cstheme="majorHAnsi"/>
          <w:sz w:val="22"/>
          <w:szCs w:val="22"/>
          <w:lang w:eastAsia="en-US"/>
        </w:rPr>
        <w:t xml:space="preserve"> descrito</w:t>
      </w:r>
      <w:r w:rsidR="0051566A">
        <w:rPr>
          <w:rFonts w:asciiTheme="majorHAnsi" w:hAnsiTheme="majorHAnsi" w:cstheme="majorHAnsi"/>
          <w:sz w:val="22"/>
          <w:szCs w:val="22"/>
          <w:lang w:eastAsia="en-US"/>
        </w:rPr>
        <w:t>/detalhado</w:t>
      </w:r>
      <w:r w:rsidR="00EA6367">
        <w:rPr>
          <w:rFonts w:asciiTheme="majorHAnsi" w:hAnsiTheme="majorHAnsi" w:cstheme="majorHAnsi"/>
          <w:sz w:val="22"/>
          <w:szCs w:val="22"/>
          <w:lang w:eastAsia="en-US"/>
        </w:rPr>
        <w:t xml:space="preserve"> da tabela SINAP, </w:t>
      </w:r>
      <w:r w:rsidR="0051566A">
        <w:rPr>
          <w:rFonts w:asciiTheme="majorHAnsi" w:hAnsiTheme="majorHAnsi" w:cstheme="majorHAnsi"/>
          <w:sz w:val="22"/>
          <w:szCs w:val="22"/>
          <w:lang w:eastAsia="en-US"/>
        </w:rPr>
        <w:t>relacionado ao objeto dos itens do</w:t>
      </w:r>
      <w:r w:rsidRPr="00237AA8">
        <w:rPr>
          <w:rFonts w:asciiTheme="majorHAnsi" w:hAnsiTheme="majorHAnsi" w:cstheme="majorHAnsi"/>
          <w:sz w:val="22"/>
          <w:szCs w:val="22"/>
          <w:lang w:eastAsia="en-US"/>
        </w:rPr>
        <w:t xml:space="preserve"> Termo de Referência</w:t>
      </w:r>
      <w:r w:rsidRPr="00237AA8">
        <w:rPr>
          <w:rFonts w:asciiTheme="majorHAnsi" w:hAnsiTheme="majorHAnsi" w:cstheme="majorHAnsi"/>
          <w:color w:val="FF0000"/>
          <w:sz w:val="22"/>
          <w:szCs w:val="22"/>
          <w:lang w:eastAsia="en-US"/>
        </w:rPr>
        <w:t xml:space="preserve"> </w:t>
      </w:r>
      <w:r w:rsidRPr="00237AA8">
        <w:rPr>
          <w:rFonts w:asciiTheme="majorHAnsi" w:hAnsiTheme="majorHAnsi" w:cstheme="majorHAnsi"/>
          <w:sz w:val="22"/>
          <w:szCs w:val="22"/>
          <w:lang w:eastAsia="en-US"/>
        </w:rPr>
        <w:t>e na proposta.</w:t>
      </w:r>
    </w:p>
    <w:p w14:paraId="28745BE8" w14:textId="65E48961"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 xml:space="preserve">Os bens poderão ser rejeitados, no todo ou em parte, inclusive antes do recebimento provisório, quando em desacordo com as especificações constantes </w:t>
      </w:r>
      <w:r w:rsidR="00BD3715">
        <w:rPr>
          <w:rFonts w:asciiTheme="majorHAnsi" w:hAnsiTheme="majorHAnsi" w:cstheme="majorHAnsi"/>
          <w:sz w:val="22"/>
          <w:szCs w:val="22"/>
          <w:lang w:eastAsia="en-US"/>
        </w:rPr>
        <w:t>na solicitação/tabela SINAP, e/ou que não possua relação com</w:t>
      </w:r>
      <w:r w:rsidRPr="00237AA8">
        <w:rPr>
          <w:rFonts w:asciiTheme="majorHAnsi" w:hAnsiTheme="majorHAnsi" w:cstheme="majorHAnsi"/>
          <w:sz w:val="22"/>
          <w:szCs w:val="22"/>
          <w:lang w:eastAsia="en-US"/>
        </w:rPr>
        <w:t xml:space="preserve"> Termo de Referência e na proposta, devendo ser substituídos no prazo de 30 (trinta) dias, a contar da notificação da contratada, às suas custas, sem prejuízo da aplicação das penalidades.</w:t>
      </w:r>
      <w:r w:rsidR="00120918">
        <w:rPr>
          <w:rFonts w:asciiTheme="majorHAnsi" w:hAnsiTheme="majorHAnsi" w:cstheme="majorHAnsi"/>
          <w:sz w:val="22"/>
          <w:szCs w:val="22"/>
          <w:lang w:eastAsia="en-US"/>
        </w:rPr>
        <w:t xml:space="preserve"> Não haverá liquidação em caso de devolução, sendo este apenas após o recebimento definitivo.</w:t>
      </w:r>
    </w:p>
    <w:p w14:paraId="12F68E8D" w14:textId="16F753B3"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O recebimento definitivo ocorrerá no prazo de 1</w:t>
      </w:r>
      <w:r w:rsidR="00C34A27">
        <w:rPr>
          <w:rFonts w:asciiTheme="majorHAnsi" w:hAnsiTheme="majorHAnsi" w:cstheme="majorHAnsi"/>
          <w:sz w:val="22"/>
          <w:szCs w:val="22"/>
          <w:lang w:eastAsia="en-US"/>
        </w:rPr>
        <w:t>0</w:t>
      </w:r>
      <w:r w:rsidRPr="00237AA8">
        <w:rPr>
          <w:rFonts w:asciiTheme="majorHAnsi" w:hAnsiTheme="majorHAnsi" w:cstheme="majorHAnsi"/>
          <w:sz w:val="22"/>
          <w:szCs w:val="22"/>
          <w:lang w:eastAsia="en-US"/>
        </w:rPr>
        <w:t xml:space="preserve"> (</w:t>
      </w:r>
      <w:r w:rsidR="00C34A27">
        <w:rPr>
          <w:rFonts w:asciiTheme="majorHAnsi" w:hAnsiTheme="majorHAnsi" w:cstheme="majorHAnsi"/>
          <w:sz w:val="22"/>
          <w:szCs w:val="22"/>
          <w:lang w:eastAsia="en-US"/>
        </w:rPr>
        <w:t>dez</w:t>
      </w:r>
      <w:r w:rsidRPr="00237AA8">
        <w:rPr>
          <w:rFonts w:asciiTheme="majorHAnsi" w:hAnsiTheme="majorHAnsi" w:cstheme="majorHAnsi"/>
          <w:sz w:val="22"/>
          <w:szCs w:val="22"/>
          <w:lang w:eastAsia="en-US"/>
        </w:rPr>
        <w:t>) dias úteis, a contar do recebimento da nota fiscal ou instrumento de cobrança equivalente pela Administração, após a verificação da qualidade e quantidade do material e consequente aceitação mediante termo detalhado.</w:t>
      </w:r>
    </w:p>
    <w:p w14:paraId="17C784B4" w14:textId="644B1E2C"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lang w:eastAsia="en-US"/>
        </w:rPr>
        <w:t xml:space="preserve">Para as contratações decorrentes de despesas cujos valores não ultrapassem o limite de que trata o </w:t>
      </w:r>
      <w:hyperlink r:id="rId32" w:anchor="art75" w:history="1">
        <w:r w:rsidRPr="00237AA8">
          <w:rPr>
            <w:rStyle w:val="LinkdaInternet"/>
            <w:rFonts w:asciiTheme="majorHAnsi" w:hAnsiTheme="majorHAnsi" w:cstheme="majorHAnsi"/>
            <w:color w:val="000000"/>
            <w:sz w:val="22"/>
            <w:szCs w:val="22"/>
            <w:lang w:eastAsia="en-US"/>
          </w:rPr>
          <w:t>inciso II do art. 75 da Lei nº 14.133, de 2021</w:t>
        </w:r>
      </w:hyperlink>
      <w:r w:rsidRPr="00237AA8">
        <w:rPr>
          <w:rFonts w:asciiTheme="majorHAnsi" w:hAnsiTheme="majorHAnsi" w:cstheme="majorHAnsi"/>
          <w:sz w:val="22"/>
          <w:szCs w:val="22"/>
          <w:lang w:eastAsia="en-US"/>
        </w:rPr>
        <w:t xml:space="preserve">, o prazo máximo para o recebimento definitivo será de até </w:t>
      </w:r>
      <w:r w:rsidR="00C34A27">
        <w:rPr>
          <w:rFonts w:asciiTheme="majorHAnsi" w:hAnsiTheme="majorHAnsi" w:cstheme="majorHAnsi"/>
          <w:sz w:val="22"/>
          <w:szCs w:val="22"/>
          <w:lang w:eastAsia="en-US"/>
        </w:rPr>
        <w:t>10</w:t>
      </w:r>
      <w:r w:rsidRPr="00237AA8">
        <w:rPr>
          <w:rFonts w:asciiTheme="majorHAnsi" w:hAnsiTheme="majorHAnsi" w:cstheme="majorHAnsi"/>
          <w:sz w:val="22"/>
          <w:szCs w:val="22"/>
          <w:lang w:eastAsia="en-US"/>
        </w:rPr>
        <w:t xml:space="preserve"> (</w:t>
      </w:r>
      <w:r w:rsidR="00C34A27">
        <w:rPr>
          <w:rFonts w:asciiTheme="majorHAnsi" w:hAnsiTheme="majorHAnsi" w:cstheme="majorHAnsi"/>
          <w:sz w:val="22"/>
          <w:szCs w:val="22"/>
          <w:lang w:eastAsia="en-US"/>
        </w:rPr>
        <w:t>dez</w:t>
      </w:r>
      <w:r w:rsidRPr="00237AA8">
        <w:rPr>
          <w:rFonts w:asciiTheme="majorHAnsi" w:hAnsiTheme="majorHAnsi" w:cstheme="majorHAnsi"/>
          <w:sz w:val="22"/>
          <w:szCs w:val="22"/>
          <w:lang w:eastAsia="en-US"/>
        </w:rPr>
        <w:t>) dias úteis.</w:t>
      </w:r>
    </w:p>
    <w:p w14:paraId="5C3A99D2"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lastRenderedPageBreak/>
        <w:t xml:space="preserve">O prazo para recebimento definitivo poderá ser excepcionalmente prorrogado, </w:t>
      </w:r>
      <w:r w:rsidRPr="00237AA8">
        <w:rPr>
          <w:rFonts w:asciiTheme="majorHAnsi" w:hAnsiTheme="majorHAnsi" w:cstheme="majorHAnsi"/>
          <w:color w:val="00000A"/>
          <w:sz w:val="22"/>
          <w:szCs w:val="22"/>
          <w:lang w:eastAsia="en-US"/>
        </w:rPr>
        <w:t>de forma justificada, por igual período, quando houver necessidade de diligências para a aferição do ate</w:t>
      </w:r>
      <w:r w:rsidRPr="00237AA8">
        <w:rPr>
          <w:rFonts w:asciiTheme="majorHAnsi" w:hAnsiTheme="majorHAnsi" w:cstheme="majorHAnsi"/>
          <w:sz w:val="22"/>
          <w:szCs w:val="22"/>
          <w:lang w:eastAsia="en-US"/>
        </w:rPr>
        <w:t>ndimento das exigências contratuais.</w:t>
      </w:r>
    </w:p>
    <w:p w14:paraId="4F2C027A"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bCs/>
          <w:sz w:val="22"/>
          <w:szCs w:val="22"/>
          <w:lang w:eastAsia="en-US"/>
        </w:rPr>
        <w:t xml:space="preserve">No caso de controvérsia sobre a execução do objeto, quanto à dimensão, qualidade e quantidade, deverá ser observado o teor do </w:t>
      </w:r>
      <w:hyperlink r:id="rId33" w:anchor="art143" w:history="1">
        <w:r w:rsidRPr="00237AA8">
          <w:rPr>
            <w:rStyle w:val="LinkdaInternet"/>
            <w:rFonts w:asciiTheme="majorHAnsi" w:hAnsiTheme="majorHAnsi" w:cstheme="majorHAnsi"/>
            <w:bCs/>
            <w:sz w:val="22"/>
            <w:szCs w:val="22"/>
            <w:lang w:eastAsia="en-US"/>
          </w:rPr>
          <w:t>art. 143 da Lei nº 14.133, de 2021</w:t>
        </w:r>
      </w:hyperlink>
      <w:r w:rsidRPr="00237AA8">
        <w:rPr>
          <w:rFonts w:asciiTheme="majorHAnsi" w:hAnsiTheme="majorHAnsi" w:cstheme="majorHAnsi"/>
          <w:bCs/>
          <w:sz w:val="22"/>
          <w:szCs w:val="22"/>
          <w:lang w:eastAsia="en-US"/>
        </w:rPr>
        <w:t>, comunicando-se à empresa para emissão de Nota Fiscal no que pertine à parcela incontroversa da execução do objeto, para efeito de liquidação e pagamento.</w:t>
      </w:r>
    </w:p>
    <w:p w14:paraId="6667DF74"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9F45CE0" w14:textId="65A28B05" w:rsidR="003F2EEF"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O recebimento provisório ou definitivo não excluirá a responsabilidade civil pela solidez e pela segurança do serviço nem a responsabilidade ético-profissional pela perfeita execução do contrato.</w:t>
      </w:r>
    </w:p>
    <w:p w14:paraId="27BC3880" w14:textId="77777777" w:rsidR="00911563" w:rsidRPr="00237AA8" w:rsidRDefault="00911563" w:rsidP="00911563">
      <w:pPr>
        <w:pStyle w:val="Nivel2"/>
        <w:tabs>
          <w:tab w:val="left" w:pos="426"/>
        </w:tabs>
        <w:spacing w:line="240" w:lineRule="exact"/>
        <w:rPr>
          <w:rFonts w:asciiTheme="majorHAnsi" w:hAnsiTheme="majorHAnsi" w:cstheme="majorHAnsi"/>
          <w:sz w:val="22"/>
          <w:szCs w:val="22"/>
          <w:lang w:eastAsia="en-US"/>
        </w:rPr>
      </w:pPr>
    </w:p>
    <w:p w14:paraId="6E9BE140" w14:textId="77777777" w:rsidR="003F2EEF" w:rsidRPr="00237AA8" w:rsidRDefault="006F1B16" w:rsidP="00EF5184">
      <w:pPr>
        <w:pStyle w:val="Nvel1-SemNum"/>
        <w:tabs>
          <w:tab w:val="left" w:pos="426"/>
        </w:tabs>
        <w:spacing w:before="120" w:after="120" w:line="240" w:lineRule="exact"/>
        <w:ind w:left="0"/>
        <w:rPr>
          <w:rFonts w:asciiTheme="majorHAnsi" w:hAnsiTheme="majorHAnsi" w:cstheme="majorHAnsi"/>
          <w:color w:val="00000A"/>
          <w:sz w:val="22"/>
          <w:szCs w:val="22"/>
          <w:lang w:eastAsia="en-US"/>
        </w:rPr>
      </w:pPr>
      <w:r w:rsidRPr="00237AA8">
        <w:rPr>
          <w:rFonts w:asciiTheme="majorHAnsi" w:hAnsiTheme="majorHAnsi" w:cstheme="majorHAnsi"/>
          <w:color w:val="00000A"/>
          <w:sz w:val="22"/>
          <w:szCs w:val="22"/>
          <w:lang w:eastAsia="en-US"/>
        </w:rPr>
        <w:t>Liquidação</w:t>
      </w:r>
    </w:p>
    <w:p w14:paraId="6D1D5952"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lang w:eastAsia="en-US"/>
        </w:rPr>
        <w:t xml:space="preserve">Recebida a Nota Fiscal ou documento de cobrança equivalente, correrá o prazo de dez dias úteis para fins de liquidação, na forma desta seção, prorrogáveis por igual período, nos termos do </w:t>
      </w:r>
      <w:hyperlink r:id="rId34" w:anchor="art7§2" w:history="1">
        <w:r w:rsidRPr="00237AA8">
          <w:rPr>
            <w:rStyle w:val="LinkdaInternet"/>
            <w:rFonts w:asciiTheme="majorHAnsi" w:hAnsiTheme="majorHAnsi" w:cstheme="majorHAnsi"/>
            <w:sz w:val="22"/>
            <w:szCs w:val="22"/>
            <w:lang w:eastAsia="en-US"/>
          </w:rPr>
          <w:t>art. 7º, §2º da Instrução Normativa SEGES/ME nº 77/2022</w:t>
        </w:r>
      </w:hyperlink>
      <w:r w:rsidRPr="00237AA8">
        <w:rPr>
          <w:rFonts w:asciiTheme="majorHAnsi" w:hAnsiTheme="majorHAnsi" w:cstheme="majorHAnsi"/>
          <w:sz w:val="22"/>
          <w:szCs w:val="22"/>
          <w:lang w:eastAsia="en-US"/>
        </w:rPr>
        <w:t>.</w:t>
      </w:r>
    </w:p>
    <w:p w14:paraId="19F88F69" w14:textId="77777777" w:rsidR="003F2EEF" w:rsidRPr="00237AA8" w:rsidRDefault="006F1B16" w:rsidP="00911563">
      <w:pPr>
        <w:pStyle w:val="Nivel3"/>
        <w:numPr>
          <w:ilvl w:val="2"/>
          <w:numId w:val="1"/>
        </w:numPr>
        <w:tabs>
          <w:tab w:val="left" w:pos="426"/>
        </w:tabs>
        <w:spacing w:line="240" w:lineRule="exact"/>
        <w:ind w:left="426" w:firstLine="0"/>
        <w:rPr>
          <w:rFonts w:asciiTheme="majorHAnsi" w:hAnsiTheme="majorHAnsi" w:cstheme="majorHAnsi"/>
          <w:sz w:val="22"/>
          <w:szCs w:val="22"/>
        </w:rPr>
      </w:pPr>
      <w:r w:rsidRPr="00237AA8">
        <w:rPr>
          <w:rFonts w:asciiTheme="majorHAnsi" w:hAnsiTheme="majorHAnsi" w:cstheme="majorHAnsi"/>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35" w:anchor="art75" w:history="1">
        <w:r w:rsidRPr="00237AA8">
          <w:rPr>
            <w:rStyle w:val="LinkdaInternet"/>
            <w:rFonts w:asciiTheme="majorHAnsi" w:hAnsiTheme="majorHAnsi" w:cstheme="majorHAnsi"/>
            <w:sz w:val="22"/>
            <w:szCs w:val="22"/>
          </w:rPr>
          <w:t>inciso II do art. 75 da Lei nº 14.133, de 2021</w:t>
        </w:r>
      </w:hyperlink>
      <w:r w:rsidRPr="00237AA8">
        <w:rPr>
          <w:rFonts w:asciiTheme="majorHAnsi" w:hAnsiTheme="majorHAnsi" w:cstheme="majorHAnsi"/>
          <w:sz w:val="22"/>
          <w:szCs w:val="22"/>
        </w:rPr>
        <w:t>.</w:t>
      </w:r>
    </w:p>
    <w:p w14:paraId="6FA262EB" w14:textId="77777777" w:rsidR="003F2EEF" w:rsidRPr="00237AA8" w:rsidRDefault="006F1B16" w:rsidP="00EF5184">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14:paraId="43B9BEEB" w14:textId="0585EA90" w:rsidR="003F2EEF" w:rsidRPr="00327F9C" w:rsidRDefault="0069225F" w:rsidP="005567C4">
      <w:pPr>
        <w:pStyle w:val="PargrafodaLista"/>
        <w:numPr>
          <w:ilvl w:val="2"/>
          <w:numId w:val="1"/>
        </w:numPr>
        <w:tabs>
          <w:tab w:val="left" w:pos="426"/>
        </w:tabs>
        <w:suppressAutoHyphens/>
        <w:spacing w:before="120" w:after="120" w:line="240" w:lineRule="exact"/>
        <w:ind w:left="425" w:firstLine="0"/>
        <w:contextualSpacing w:val="0"/>
        <w:jc w:val="both"/>
        <w:rPr>
          <w:rFonts w:asciiTheme="majorHAnsi" w:eastAsia="Calibri" w:hAnsiTheme="majorHAnsi" w:cstheme="majorHAnsi"/>
          <w:color w:val="000000"/>
          <w:sz w:val="22"/>
          <w:szCs w:val="22"/>
          <w:lang w:eastAsia="en-US"/>
        </w:rPr>
      </w:pPr>
      <w:r>
        <w:rPr>
          <w:rFonts w:asciiTheme="majorHAnsi" w:eastAsia="Calibri" w:hAnsiTheme="majorHAnsi" w:cstheme="majorHAnsi"/>
          <w:color w:val="000000"/>
          <w:sz w:val="22"/>
          <w:szCs w:val="22"/>
          <w:lang w:eastAsia="en-US"/>
        </w:rPr>
        <w:t>o prazo de validade (devendo ter prazo de pelo menos 2/3 do prazo da validade total</w:t>
      </w:r>
      <w:r w:rsidR="00943F1E">
        <w:rPr>
          <w:rFonts w:asciiTheme="majorHAnsi" w:eastAsia="Calibri" w:hAnsiTheme="majorHAnsi" w:cstheme="majorHAnsi"/>
          <w:color w:val="000000"/>
          <w:sz w:val="22"/>
          <w:szCs w:val="22"/>
          <w:lang w:eastAsia="en-US"/>
        </w:rPr>
        <w:t xml:space="preserve"> do produto</w:t>
      </w:r>
      <w:r>
        <w:rPr>
          <w:rFonts w:asciiTheme="majorHAnsi" w:eastAsia="Calibri" w:hAnsiTheme="majorHAnsi" w:cstheme="majorHAnsi"/>
          <w:color w:val="000000"/>
          <w:sz w:val="22"/>
          <w:szCs w:val="22"/>
          <w:lang w:eastAsia="en-US"/>
        </w:rPr>
        <w:t>);</w:t>
      </w:r>
    </w:p>
    <w:p w14:paraId="47DE066D" w14:textId="57123C4C" w:rsidR="003F2EEF" w:rsidRPr="00327F9C" w:rsidRDefault="006F1B16" w:rsidP="005567C4">
      <w:pPr>
        <w:pStyle w:val="PargrafodaLista"/>
        <w:numPr>
          <w:ilvl w:val="2"/>
          <w:numId w:val="1"/>
        </w:numPr>
        <w:tabs>
          <w:tab w:val="left" w:pos="426"/>
        </w:tabs>
        <w:suppressAutoHyphens/>
        <w:spacing w:before="120" w:after="120" w:line="240" w:lineRule="exact"/>
        <w:ind w:left="425" w:firstLine="0"/>
        <w:contextualSpacing w:val="0"/>
        <w:jc w:val="both"/>
        <w:rPr>
          <w:rFonts w:asciiTheme="majorHAnsi" w:eastAsia="Calibri" w:hAnsiTheme="majorHAnsi" w:cstheme="majorHAnsi"/>
          <w:color w:val="000000"/>
          <w:sz w:val="22"/>
          <w:szCs w:val="22"/>
          <w:lang w:eastAsia="en-US"/>
        </w:rPr>
      </w:pPr>
      <w:r w:rsidRPr="00327F9C">
        <w:rPr>
          <w:rFonts w:asciiTheme="majorHAnsi" w:eastAsia="Calibri" w:hAnsiTheme="majorHAnsi" w:cstheme="majorHAnsi"/>
          <w:color w:val="000000"/>
          <w:sz w:val="22"/>
          <w:szCs w:val="22"/>
          <w:lang w:eastAsia="en-US"/>
        </w:rPr>
        <w:t xml:space="preserve">a data da emissão; </w:t>
      </w:r>
    </w:p>
    <w:p w14:paraId="2BA96142" w14:textId="2F3E8478" w:rsidR="003F2EEF" w:rsidRPr="00327F9C" w:rsidRDefault="006F1B16" w:rsidP="005567C4">
      <w:pPr>
        <w:pStyle w:val="PargrafodaLista"/>
        <w:numPr>
          <w:ilvl w:val="2"/>
          <w:numId w:val="1"/>
        </w:numPr>
        <w:tabs>
          <w:tab w:val="left" w:pos="426"/>
        </w:tabs>
        <w:suppressAutoHyphens/>
        <w:spacing w:before="120" w:after="120" w:line="240" w:lineRule="exact"/>
        <w:ind w:left="425" w:firstLine="0"/>
        <w:contextualSpacing w:val="0"/>
        <w:jc w:val="both"/>
        <w:rPr>
          <w:rFonts w:asciiTheme="majorHAnsi" w:eastAsia="Calibri" w:hAnsiTheme="majorHAnsi" w:cstheme="majorHAnsi"/>
          <w:color w:val="000000"/>
          <w:sz w:val="22"/>
          <w:szCs w:val="22"/>
          <w:lang w:eastAsia="en-US"/>
        </w:rPr>
      </w:pPr>
      <w:r w:rsidRPr="00327F9C">
        <w:rPr>
          <w:rFonts w:asciiTheme="majorHAnsi" w:eastAsia="Calibri" w:hAnsiTheme="majorHAnsi" w:cstheme="majorHAnsi"/>
          <w:color w:val="000000"/>
          <w:sz w:val="22"/>
          <w:szCs w:val="22"/>
          <w:lang w:eastAsia="en-US"/>
        </w:rPr>
        <w:t xml:space="preserve">os dados do contrato e do órgão contratante; </w:t>
      </w:r>
    </w:p>
    <w:p w14:paraId="1C04FCC4" w14:textId="21957940" w:rsidR="003F2EEF" w:rsidRPr="00327F9C" w:rsidRDefault="006F1B16" w:rsidP="005567C4">
      <w:pPr>
        <w:pStyle w:val="PargrafodaLista"/>
        <w:numPr>
          <w:ilvl w:val="2"/>
          <w:numId w:val="1"/>
        </w:numPr>
        <w:tabs>
          <w:tab w:val="left" w:pos="426"/>
        </w:tabs>
        <w:suppressAutoHyphens/>
        <w:spacing w:before="120" w:after="120" w:line="240" w:lineRule="exact"/>
        <w:ind w:left="425" w:firstLine="0"/>
        <w:contextualSpacing w:val="0"/>
        <w:jc w:val="both"/>
        <w:rPr>
          <w:rFonts w:asciiTheme="majorHAnsi" w:eastAsia="Calibri" w:hAnsiTheme="majorHAnsi" w:cstheme="majorHAnsi"/>
          <w:color w:val="000000"/>
          <w:sz w:val="22"/>
          <w:szCs w:val="22"/>
          <w:lang w:eastAsia="en-US"/>
        </w:rPr>
      </w:pPr>
      <w:r w:rsidRPr="00327F9C">
        <w:rPr>
          <w:rFonts w:asciiTheme="majorHAnsi" w:eastAsia="Calibri" w:hAnsiTheme="majorHAnsi" w:cstheme="majorHAnsi"/>
          <w:color w:val="000000"/>
          <w:sz w:val="22"/>
          <w:szCs w:val="22"/>
          <w:lang w:eastAsia="en-US"/>
        </w:rPr>
        <w:t xml:space="preserve">o período respectivo de execução do contrato; </w:t>
      </w:r>
    </w:p>
    <w:p w14:paraId="0661B23D" w14:textId="47976CAE" w:rsidR="003F2EEF" w:rsidRPr="00327F9C" w:rsidRDefault="006F1B16" w:rsidP="005567C4">
      <w:pPr>
        <w:pStyle w:val="PargrafodaLista"/>
        <w:numPr>
          <w:ilvl w:val="2"/>
          <w:numId w:val="1"/>
        </w:numPr>
        <w:tabs>
          <w:tab w:val="left" w:pos="426"/>
        </w:tabs>
        <w:suppressAutoHyphens/>
        <w:spacing w:before="120" w:after="120" w:line="240" w:lineRule="exact"/>
        <w:ind w:left="425" w:firstLine="0"/>
        <w:contextualSpacing w:val="0"/>
        <w:jc w:val="both"/>
        <w:rPr>
          <w:rFonts w:asciiTheme="majorHAnsi" w:eastAsia="Calibri" w:hAnsiTheme="majorHAnsi" w:cstheme="majorHAnsi"/>
          <w:color w:val="000000"/>
          <w:sz w:val="22"/>
          <w:szCs w:val="22"/>
          <w:lang w:eastAsia="en-US"/>
        </w:rPr>
      </w:pPr>
      <w:r w:rsidRPr="00327F9C">
        <w:rPr>
          <w:rFonts w:asciiTheme="majorHAnsi" w:eastAsia="Calibri" w:hAnsiTheme="majorHAnsi" w:cstheme="majorHAnsi"/>
          <w:color w:val="000000"/>
          <w:sz w:val="22"/>
          <w:szCs w:val="22"/>
          <w:lang w:eastAsia="en-US"/>
        </w:rPr>
        <w:t xml:space="preserve">o valor a pagar; e </w:t>
      </w:r>
    </w:p>
    <w:p w14:paraId="6CFF8920" w14:textId="7E02D829" w:rsidR="003F2EEF" w:rsidRPr="005567C4" w:rsidRDefault="006F1B16" w:rsidP="005567C4">
      <w:pPr>
        <w:pStyle w:val="PargrafodaLista"/>
        <w:numPr>
          <w:ilvl w:val="2"/>
          <w:numId w:val="1"/>
        </w:numPr>
        <w:tabs>
          <w:tab w:val="left" w:pos="426"/>
        </w:tabs>
        <w:suppressAutoHyphens/>
        <w:spacing w:before="120" w:after="120" w:line="240" w:lineRule="exact"/>
        <w:ind w:left="851" w:hanging="425"/>
        <w:jc w:val="both"/>
        <w:rPr>
          <w:rFonts w:asciiTheme="majorHAnsi" w:eastAsia="Calibri" w:hAnsiTheme="majorHAnsi" w:cstheme="majorHAnsi"/>
          <w:color w:val="000000"/>
          <w:sz w:val="22"/>
          <w:szCs w:val="22"/>
          <w:lang w:eastAsia="en-US"/>
        </w:rPr>
      </w:pPr>
      <w:r w:rsidRPr="005567C4">
        <w:rPr>
          <w:rFonts w:asciiTheme="majorHAnsi" w:eastAsia="Calibri" w:hAnsiTheme="majorHAnsi" w:cstheme="majorHAnsi"/>
          <w:color w:val="000000"/>
          <w:sz w:val="22"/>
          <w:szCs w:val="22"/>
          <w:lang w:eastAsia="en-US"/>
        </w:rPr>
        <w:t>eventual destaque do valor de retenções tributárias cabíveis.</w:t>
      </w:r>
    </w:p>
    <w:p w14:paraId="223C8EF5"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eastAsia="Calibri" w:hAnsiTheme="majorHAnsi" w:cstheme="majorHAnsi"/>
          <w:sz w:val="22"/>
          <w:szCs w:val="22"/>
          <w:lang w:eastAsia="en-US"/>
        </w:rPr>
        <w:t xml:space="preserve"> Havendo erro na apresentação da nota fiscal ou instrumento de cobrança equivalente, ou circunstância que impeça a </w:t>
      </w:r>
      <w:r w:rsidRPr="00237AA8">
        <w:rPr>
          <w:rFonts w:asciiTheme="majorHAnsi" w:hAnsiTheme="majorHAnsi" w:cstheme="majorHAnsi"/>
          <w:sz w:val="22"/>
          <w:szCs w:val="22"/>
          <w:lang w:eastAsia="en-US"/>
        </w:rPr>
        <w:t>liquidação da despesa, esta ficará sobrestada até que o contratado providencie as medidas saneadoras, reiniciando-se o prazo após a comprovação da regularização da situação, sem ônus ao contratante;</w:t>
      </w:r>
    </w:p>
    <w:p w14:paraId="08450A13"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lang w:eastAsia="en-US"/>
        </w:rPr>
        <w:t xml:space="preserve"> A nota fiscal ou instrumento de cobrança equivalente deverá ser obrigatoriamente acompanhado da comprovação da regularidade fiscal, constatada por meio de consulta </w:t>
      </w:r>
      <w:r w:rsidRPr="00237AA8">
        <w:rPr>
          <w:rFonts w:asciiTheme="majorHAnsi" w:hAnsiTheme="majorHAnsi" w:cstheme="majorHAnsi"/>
          <w:i/>
          <w:iCs/>
          <w:sz w:val="22"/>
          <w:szCs w:val="22"/>
          <w:lang w:eastAsia="en-US"/>
        </w:rPr>
        <w:t>on-line</w:t>
      </w:r>
      <w:r w:rsidRPr="00237AA8">
        <w:rPr>
          <w:rFonts w:asciiTheme="majorHAnsi" w:hAnsiTheme="majorHAnsi" w:cstheme="majorHAnsi"/>
          <w:sz w:val="22"/>
          <w:szCs w:val="22"/>
          <w:lang w:eastAsia="en-US"/>
        </w:rPr>
        <w:t xml:space="preserve"> ao SICAF ou, na impossibilidade de acesso ao referido Sistema, mediante consulta aos sítios eletrônicos oficiais ou à documentação mencionada no </w:t>
      </w:r>
      <w:hyperlink r:id="rId36" w:anchor="art68" w:history="1">
        <w:r w:rsidRPr="00237AA8">
          <w:rPr>
            <w:rStyle w:val="LinkdaInternet"/>
            <w:rFonts w:asciiTheme="majorHAnsi" w:hAnsiTheme="majorHAnsi" w:cstheme="majorHAnsi"/>
            <w:sz w:val="22"/>
            <w:szCs w:val="22"/>
            <w:lang w:eastAsia="en-US"/>
          </w:rPr>
          <w:t xml:space="preserve">art. 68 da Lei nº 14.133, de 2021.  </w:t>
        </w:r>
      </w:hyperlink>
      <w:r w:rsidRPr="00237AA8">
        <w:rPr>
          <w:rFonts w:asciiTheme="majorHAnsi" w:hAnsiTheme="majorHAnsi" w:cstheme="majorHAnsi"/>
          <w:sz w:val="22"/>
          <w:szCs w:val="22"/>
          <w:lang w:eastAsia="en-US"/>
        </w:rPr>
        <w:t xml:space="preserve"> </w:t>
      </w:r>
    </w:p>
    <w:p w14:paraId="5BA02FCD" w14:textId="351118FB" w:rsidR="003F2EEF" w:rsidRPr="00237AA8" w:rsidRDefault="006F1B16" w:rsidP="005567C4">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B56AE74"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76F6FF5"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926DF59"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 xml:space="preserve">Persistindo a irregularidade, o contratante deverá adotar as medidas necessárias à rescisão contratual nos autos do processo administrativo correspondente, assegurada ao contratado a ampla defesa. </w:t>
      </w:r>
    </w:p>
    <w:p w14:paraId="73532EE6" w14:textId="1290BCA5" w:rsidR="003F2EEF"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593B1807" w14:textId="77777777" w:rsidR="003F2EEF" w:rsidRPr="00237AA8" w:rsidRDefault="006F1B16" w:rsidP="00EF5184">
      <w:pPr>
        <w:pStyle w:val="Nvel1-SemNum"/>
        <w:tabs>
          <w:tab w:val="left" w:pos="426"/>
        </w:tabs>
        <w:spacing w:before="120" w:after="120" w:line="240" w:lineRule="exact"/>
        <w:ind w:left="0"/>
        <w:rPr>
          <w:rFonts w:asciiTheme="majorHAnsi" w:hAnsiTheme="majorHAnsi" w:cstheme="majorHAnsi"/>
          <w:color w:val="00000A"/>
          <w:sz w:val="22"/>
          <w:szCs w:val="22"/>
          <w:lang w:eastAsia="en-US"/>
        </w:rPr>
      </w:pPr>
      <w:r w:rsidRPr="00237AA8">
        <w:rPr>
          <w:rFonts w:asciiTheme="majorHAnsi" w:hAnsiTheme="majorHAnsi" w:cstheme="majorHAnsi"/>
          <w:color w:val="00000A"/>
          <w:sz w:val="22"/>
          <w:szCs w:val="22"/>
          <w:lang w:eastAsia="en-US"/>
        </w:rPr>
        <w:t>Prazo de pagamento</w:t>
      </w:r>
    </w:p>
    <w:p w14:paraId="4B15A2BA" w14:textId="5B5138B1" w:rsidR="003F2EEF"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 xml:space="preserve">O pagamento será efetuado no prazo de até 10 (dez) dias úteis contados da finalização da liquidação da despesa, conforme seção anterior, nos termos da </w:t>
      </w:r>
      <w:hyperlink r:id="rId37">
        <w:r w:rsidRPr="00237AA8">
          <w:rPr>
            <w:rStyle w:val="LinkdaInternet"/>
            <w:rFonts w:asciiTheme="majorHAnsi" w:hAnsiTheme="majorHAnsi" w:cstheme="majorHAnsi"/>
            <w:sz w:val="22"/>
            <w:szCs w:val="22"/>
          </w:rPr>
          <w:t>Instrução Normativa SEGES/ME nº 77, de 2022</w:t>
        </w:r>
      </w:hyperlink>
      <w:r w:rsidRPr="00237AA8">
        <w:rPr>
          <w:rFonts w:asciiTheme="majorHAnsi" w:hAnsiTheme="majorHAnsi" w:cstheme="majorHAnsi"/>
          <w:sz w:val="22"/>
          <w:szCs w:val="22"/>
        </w:rPr>
        <w:t>.</w:t>
      </w:r>
    </w:p>
    <w:p w14:paraId="008B5563" w14:textId="4AA78917" w:rsidR="00466824" w:rsidRPr="0020168A" w:rsidRDefault="00466824" w:rsidP="00466824">
      <w:pPr>
        <w:pStyle w:val="Nivel2"/>
        <w:numPr>
          <w:ilvl w:val="1"/>
          <w:numId w:val="1"/>
        </w:numPr>
        <w:ind w:left="0" w:firstLine="0"/>
        <w:rPr>
          <w:lang w:eastAsia="en-US"/>
        </w:rPr>
      </w:pPr>
      <w:commentRangeStart w:id="2"/>
      <w:r w:rsidRPr="60CBE1EE">
        <w:rPr>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466824">
        <w:rPr>
          <w:i/>
          <w:iCs/>
          <w:color w:val="000000" w:themeColor="text1"/>
          <w:lang w:eastAsia="en-US"/>
        </w:rPr>
        <w:t>IPCA</w:t>
      </w:r>
      <w:r w:rsidRPr="60CBE1EE">
        <w:rPr>
          <w:lang w:eastAsia="en-US"/>
        </w:rPr>
        <w:t xml:space="preserve"> de correção monetária.</w:t>
      </w:r>
      <w:commentRangeEnd w:id="2"/>
      <w:r>
        <w:commentReference w:id="2"/>
      </w:r>
    </w:p>
    <w:p w14:paraId="18109FC6" w14:textId="77777777" w:rsidR="003F2EEF" w:rsidRPr="00237AA8" w:rsidRDefault="006F1B16" w:rsidP="00EF5184">
      <w:pPr>
        <w:pStyle w:val="Nvel1-SemNum"/>
        <w:tabs>
          <w:tab w:val="left" w:pos="426"/>
        </w:tabs>
        <w:spacing w:before="120" w:after="120" w:line="240" w:lineRule="exact"/>
        <w:ind w:left="0"/>
        <w:rPr>
          <w:rFonts w:asciiTheme="majorHAnsi" w:hAnsiTheme="majorHAnsi" w:cstheme="majorHAnsi"/>
          <w:color w:val="00000A"/>
          <w:sz w:val="22"/>
          <w:szCs w:val="22"/>
          <w:lang w:eastAsia="en-US"/>
        </w:rPr>
      </w:pPr>
      <w:r w:rsidRPr="00237AA8">
        <w:rPr>
          <w:rFonts w:asciiTheme="majorHAnsi" w:hAnsiTheme="majorHAnsi" w:cstheme="majorHAnsi"/>
          <w:color w:val="00000A"/>
          <w:sz w:val="22"/>
          <w:szCs w:val="22"/>
          <w:lang w:eastAsia="en-US"/>
        </w:rPr>
        <w:t>Forma de pagamento</w:t>
      </w:r>
    </w:p>
    <w:p w14:paraId="50CE3F7A"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O pagamento será realizado por meio de ordem bancária, para crédito em banco, agência e conta corrente indicados pelo contratado.</w:t>
      </w:r>
    </w:p>
    <w:p w14:paraId="13660F47"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Será considerada data do pagamento o dia em que constar como emitida a ordem bancária para pagamento.</w:t>
      </w:r>
    </w:p>
    <w:p w14:paraId="4D64D61B"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Quando do pagamento, será efetuada a retenção tributária prevista na legislação aplicável.</w:t>
      </w:r>
    </w:p>
    <w:p w14:paraId="3076B64E" w14:textId="77777777" w:rsidR="003F2EEF" w:rsidRPr="00237AA8" w:rsidRDefault="006F1B16" w:rsidP="00466824">
      <w:pPr>
        <w:pStyle w:val="Nivel3"/>
        <w:numPr>
          <w:ilvl w:val="2"/>
          <w:numId w:val="1"/>
        </w:numPr>
        <w:tabs>
          <w:tab w:val="left" w:pos="426"/>
        </w:tabs>
        <w:spacing w:line="240" w:lineRule="exact"/>
        <w:ind w:left="426"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Independentemente do percentual de tributo inserido na planilha, quando houver, serão retidos na fonte, quando da realização do pagamento, os percentuais estabelecidos na legislação vigente.</w:t>
      </w:r>
    </w:p>
    <w:p w14:paraId="553CA8C6"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lang w:eastAsia="en-US"/>
        </w:rPr>
        <w:t xml:space="preserve">O contratado regularmente optante pelo Simples Nacional, nos termos da </w:t>
      </w:r>
      <w:hyperlink r:id="rId38">
        <w:r w:rsidRPr="00237AA8">
          <w:rPr>
            <w:rStyle w:val="LinkdaInternet"/>
            <w:rFonts w:asciiTheme="majorHAnsi" w:hAnsiTheme="majorHAnsi" w:cstheme="majorHAnsi"/>
            <w:sz w:val="22"/>
            <w:szCs w:val="22"/>
            <w:lang w:eastAsia="en-US"/>
          </w:rPr>
          <w:t>Lei Complementar nº 123, de 2006</w:t>
        </w:r>
      </w:hyperlink>
      <w:r w:rsidRPr="00237AA8">
        <w:rPr>
          <w:rFonts w:asciiTheme="majorHAnsi" w:hAnsiTheme="majorHAnsi" w:cstheme="majorHAnsi"/>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7642054" w14:textId="68CB84B1" w:rsidR="003F2EEF" w:rsidRPr="00237AA8" w:rsidRDefault="006F1B16" w:rsidP="00EF5184">
      <w:pPr>
        <w:pStyle w:val="Nvel1-SemNum"/>
        <w:tabs>
          <w:tab w:val="left" w:pos="426"/>
        </w:tabs>
        <w:spacing w:before="120" w:after="120" w:line="240" w:lineRule="exact"/>
        <w:ind w:left="0"/>
        <w:rPr>
          <w:rFonts w:asciiTheme="majorHAnsi" w:hAnsiTheme="majorHAnsi" w:cstheme="majorHAnsi"/>
          <w:color w:val="00000A"/>
          <w:sz w:val="22"/>
          <w:szCs w:val="22"/>
          <w:lang w:eastAsia="en-US"/>
        </w:rPr>
      </w:pPr>
      <w:r w:rsidRPr="00237AA8">
        <w:rPr>
          <w:rFonts w:asciiTheme="majorHAnsi" w:hAnsiTheme="majorHAnsi" w:cstheme="majorHAnsi"/>
          <w:color w:val="00000A"/>
          <w:sz w:val="22"/>
          <w:szCs w:val="22"/>
          <w:lang w:eastAsia="en-US"/>
        </w:rPr>
        <w:t>Cessão de crédito</w:t>
      </w:r>
    </w:p>
    <w:p w14:paraId="37392E1A" w14:textId="47AD844E" w:rsidR="003F2EEF"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lang w:eastAsia="en-US"/>
        </w:rPr>
        <w:t xml:space="preserve">É admitida a cessão fiduciária de direitos creditícios com instituição financeira, nos termos e de acordo com os procedimentos previstos na </w:t>
      </w:r>
      <w:hyperlink r:id="rId39">
        <w:r w:rsidRPr="00237AA8">
          <w:rPr>
            <w:rStyle w:val="LinkdaInternet"/>
            <w:rFonts w:asciiTheme="majorHAnsi" w:hAnsiTheme="majorHAnsi" w:cstheme="majorHAnsi"/>
            <w:sz w:val="22"/>
            <w:szCs w:val="22"/>
            <w:lang w:eastAsia="en-US"/>
          </w:rPr>
          <w:t>Instrução Normativa SEGES/ME nº 53, de 8 de Julho de 2020</w:t>
        </w:r>
      </w:hyperlink>
      <w:r w:rsidRPr="00237AA8">
        <w:rPr>
          <w:rFonts w:asciiTheme="majorHAnsi" w:hAnsiTheme="majorHAnsi" w:cstheme="majorHAnsi"/>
          <w:sz w:val="22"/>
          <w:szCs w:val="22"/>
          <w:lang w:eastAsia="en-US"/>
        </w:rPr>
        <w:t>, conforme as regras deste presente tópico.</w:t>
      </w:r>
    </w:p>
    <w:p w14:paraId="717A5CD2" w14:textId="77777777" w:rsidR="00B152FE" w:rsidRPr="00B152FE" w:rsidRDefault="00B152FE" w:rsidP="00B152FE">
      <w:pPr>
        <w:pStyle w:val="Nvel3-R"/>
        <w:numPr>
          <w:ilvl w:val="2"/>
          <w:numId w:val="1"/>
        </w:numPr>
        <w:ind w:left="1134"/>
        <w:rPr>
          <w:color w:val="000000" w:themeColor="text1"/>
          <w:lang w:eastAsia="en-US"/>
        </w:rPr>
      </w:pPr>
      <w:bookmarkStart w:id="3" w:name="_Ref118216946"/>
      <w:commentRangeStart w:id="4"/>
      <w:r w:rsidRPr="00B152FE">
        <w:rPr>
          <w:color w:val="000000" w:themeColor="text1"/>
          <w:lang w:eastAsia="en-US"/>
        </w:rPr>
        <w:t xml:space="preserve">As cessões de crédito </w:t>
      </w:r>
      <w:r w:rsidRPr="00B152FE">
        <w:rPr>
          <w:color w:val="000000" w:themeColor="text1"/>
        </w:rPr>
        <w:t xml:space="preserve">não abrangidas pela Instrução Normativa SEGES/ME nº 53, de 8 de julho de 2020 </w:t>
      </w:r>
      <w:r w:rsidRPr="00B152FE">
        <w:rPr>
          <w:color w:val="000000" w:themeColor="text1"/>
          <w:lang w:eastAsia="en-US"/>
        </w:rPr>
        <w:t>dependerão de prévia aprovação do contratante.</w:t>
      </w:r>
      <w:bookmarkEnd w:id="3"/>
      <w:commentRangeEnd w:id="4"/>
      <w:r w:rsidRPr="00B152FE">
        <w:rPr>
          <w:color w:val="000000" w:themeColor="text1"/>
        </w:rPr>
        <w:commentReference w:id="4"/>
      </w:r>
    </w:p>
    <w:p w14:paraId="27AA7164"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A eficácia da cessão de crédito, de qualquer natureza, em relação à Administração, está condicionada à celebração de termo aditivo ao contrato administrativo.</w:t>
      </w:r>
    </w:p>
    <w:p w14:paraId="50CCC9EA"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w:t>
      </w:r>
      <w:r w:rsidRPr="00237AA8">
        <w:rPr>
          <w:rFonts w:asciiTheme="majorHAnsi" w:hAnsiTheme="majorHAnsi" w:cstheme="majorHAnsi"/>
          <w:sz w:val="22"/>
          <w:szCs w:val="22"/>
          <w:lang w:eastAsia="en-US"/>
        </w:rPr>
        <w:lastRenderedPageBreak/>
        <w:t xml:space="preserve">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40" w:anchor=":~:text=LEI Nº 8.429%2C DE 2 DE JUNHO DE 1992&amp;text=Dispõe sobre as sanções aplicáveis,fundacional e dá outras providências." w:history="1">
        <w:r w:rsidRPr="00237AA8">
          <w:rPr>
            <w:rStyle w:val="LinkdaInternet"/>
            <w:rFonts w:asciiTheme="majorHAnsi" w:hAnsiTheme="majorHAnsi" w:cstheme="majorHAnsi"/>
            <w:sz w:val="22"/>
            <w:szCs w:val="22"/>
            <w:lang w:eastAsia="en-US"/>
          </w:rPr>
          <w:t>o art. 12 da Lei nº 8.429, de 1992</w:t>
        </w:r>
      </w:hyperlink>
      <w:r w:rsidRPr="00237AA8">
        <w:rPr>
          <w:rFonts w:asciiTheme="majorHAnsi" w:hAnsiTheme="majorHAnsi" w:cstheme="majorHAnsi"/>
          <w:sz w:val="22"/>
          <w:szCs w:val="22"/>
          <w:lang w:eastAsia="en-US"/>
        </w:rPr>
        <w:t xml:space="preserve">, tudo nos termos do </w:t>
      </w:r>
      <w:hyperlink r:id="rId41">
        <w:r w:rsidRPr="00237AA8">
          <w:rPr>
            <w:rStyle w:val="LinkdaInternet"/>
            <w:rFonts w:asciiTheme="majorHAnsi" w:hAnsiTheme="majorHAnsi" w:cstheme="majorHAnsi"/>
            <w:sz w:val="22"/>
            <w:szCs w:val="22"/>
            <w:lang w:eastAsia="en-US"/>
          </w:rPr>
          <w:t>Parecer JL-01, de 18 de maio de 2020.</w:t>
        </w:r>
      </w:hyperlink>
    </w:p>
    <w:p w14:paraId="5B6B05E0"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5" w:name="_Hlk114498479"/>
      <w:bookmarkEnd w:id="5"/>
      <w:r w:rsidRPr="00237AA8">
        <w:rPr>
          <w:rFonts w:asciiTheme="majorHAnsi" w:hAnsiTheme="majorHAnsi" w:cstheme="majorHAnsi"/>
          <w:sz w:val="22"/>
          <w:szCs w:val="22"/>
          <w:lang w:eastAsia="en-US"/>
        </w:rPr>
        <w:t>.</w:t>
      </w:r>
    </w:p>
    <w:p w14:paraId="33CD437C" w14:textId="77777777" w:rsidR="003F2EEF" w:rsidRPr="00237AA8" w:rsidRDefault="006F1B16" w:rsidP="00327F9C">
      <w:pPr>
        <w:pStyle w:val="Nivel2"/>
        <w:numPr>
          <w:ilvl w:val="1"/>
          <w:numId w:val="1"/>
        </w:numPr>
        <w:tabs>
          <w:tab w:val="left" w:pos="426"/>
        </w:tabs>
        <w:spacing w:line="240" w:lineRule="exact"/>
        <w:ind w:left="0" w:firstLine="0"/>
        <w:rPr>
          <w:rFonts w:asciiTheme="majorHAnsi" w:hAnsiTheme="majorHAnsi" w:cstheme="majorHAnsi"/>
          <w:sz w:val="22"/>
          <w:szCs w:val="22"/>
          <w:lang w:eastAsia="en-US"/>
        </w:rPr>
      </w:pPr>
      <w:r w:rsidRPr="00237AA8">
        <w:rPr>
          <w:rFonts w:asciiTheme="majorHAnsi" w:hAnsiTheme="majorHAnsi" w:cstheme="majorHAnsi"/>
          <w:sz w:val="22"/>
          <w:szCs w:val="22"/>
          <w:lang w:eastAsia="en-US"/>
        </w:rPr>
        <w:t>A cessão de crédito não afetará a execução do objeto contratado, que continuará sob a integral responsabilidade do contratado.</w:t>
      </w:r>
    </w:p>
    <w:p w14:paraId="64A2AF1B" w14:textId="77777777" w:rsidR="003F2EEF" w:rsidRPr="00237AA8" w:rsidRDefault="003F2EEF" w:rsidP="00EF5184">
      <w:pPr>
        <w:pStyle w:val="Textodecomentrio"/>
        <w:spacing w:before="120" w:after="120" w:line="240" w:lineRule="exact"/>
        <w:rPr>
          <w:rFonts w:asciiTheme="majorHAnsi" w:hAnsiTheme="majorHAnsi" w:cstheme="majorHAnsi"/>
          <w:b/>
          <w:color w:val="FF0000"/>
          <w:sz w:val="22"/>
          <w:szCs w:val="22"/>
          <w:shd w:val="clear" w:color="auto" w:fill="FFFFFF"/>
        </w:rPr>
      </w:pPr>
    </w:p>
    <w:p w14:paraId="50248E73" w14:textId="77777777" w:rsidR="003F2EEF" w:rsidRPr="00237AA8" w:rsidRDefault="006F1B16" w:rsidP="00327F9C">
      <w:pPr>
        <w:pStyle w:val="Nivel01"/>
        <w:numPr>
          <w:ilvl w:val="0"/>
          <w:numId w:val="1"/>
        </w:numPr>
        <w:spacing w:before="120" w:after="120" w:line="240" w:lineRule="exact"/>
        <w:ind w:left="357" w:hanging="357"/>
        <w:rPr>
          <w:rFonts w:asciiTheme="majorHAnsi" w:hAnsiTheme="majorHAnsi" w:cstheme="majorHAnsi"/>
          <w:sz w:val="22"/>
          <w:szCs w:val="22"/>
          <w:highlight w:val="yellow"/>
        </w:rPr>
      </w:pPr>
      <w:r w:rsidRPr="00237AA8">
        <w:rPr>
          <w:rFonts w:asciiTheme="majorHAnsi" w:hAnsiTheme="majorHAnsi" w:cstheme="majorHAnsi"/>
          <w:sz w:val="22"/>
          <w:szCs w:val="22"/>
        </w:rPr>
        <w:t>FORMA E CRITÉRIOS DE SELEÇÃO DO FORNECEDOR</w:t>
      </w:r>
    </w:p>
    <w:p w14:paraId="2579C458" w14:textId="77777777" w:rsidR="003F2EEF" w:rsidRPr="00237AA8" w:rsidRDefault="006F1B16" w:rsidP="005C208F">
      <w:pPr>
        <w:pStyle w:val="Nvel1-SemNum"/>
        <w:spacing w:before="120" w:after="120" w:line="240" w:lineRule="exact"/>
        <w:ind w:left="0"/>
        <w:rPr>
          <w:rFonts w:asciiTheme="majorHAnsi" w:hAnsiTheme="majorHAnsi" w:cstheme="majorHAnsi"/>
          <w:color w:val="00000A"/>
          <w:sz w:val="22"/>
          <w:szCs w:val="22"/>
          <w:highlight w:val="yellow"/>
        </w:rPr>
      </w:pPr>
      <w:r w:rsidRPr="00237AA8">
        <w:rPr>
          <w:rFonts w:asciiTheme="majorHAnsi" w:hAnsiTheme="majorHAnsi" w:cstheme="majorHAnsi"/>
          <w:color w:val="00000A"/>
          <w:sz w:val="22"/>
          <w:szCs w:val="22"/>
          <w:lang w:eastAsia="en-US"/>
        </w:rPr>
        <w:t>Forma de seleção e critério de julgamento da proposta</w:t>
      </w:r>
    </w:p>
    <w:p w14:paraId="4B6E3364" w14:textId="116F6429" w:rsidR="003F2EEF" w:rsidRPr="00237AA8" w:rsidRDefault="006F1B16" w:rsidP="005C208F">
      <w:pPr>
        <w:pStyle w:val="Nivel2"/>
        <w:numPr>
          <w:ilvl w:val="1"/>
          <w:numId w:val="1"/>
        </w:numPr>
        <w:spacing w:line="240" w:lineRule="exact"/>
        <w:ind w:left="0" w:firstLine="0"/>
        <w:rPr>
          <w:rFonts w:asciiTheme="majorHAnsi" w:hAnsiTheme="majorHAnsi" w:cstheme="majorHAnsi"/>
          <w:sz w:val="22"/>
          <w:szCs w:val="22"/>
          <w:highlight w:val="yellow"/>
        </w:rPr>
      </w:pPr>
      <w:r w:rsidRPr="00237AA8">
        <w:rPr>
          <w:rFonts w:asciiTheme="majorHAnsi" w:eastAsia="Arial" w:hAnsiTheme="majorHAnsi" w:cstheme="majorHAnsi"/>
          <w:sz w:val="22"/>
          <w:szCs w:val="22"/>
        </w:rPr>
        <w:t xml:space="preserve">O fornecedor será selecionado por meio da realização de procedimento de LICITAÇÃO, na modalidade PREGÃO, sob a forma ELETRÔNICA, com adoção do critério de julgamento pelo </w:t>
      </w:r>
      <w:r w:rsidR="002A07C7">
        <w:rPr>
          <w:rFonts w:asciiTheme="majorHAnsi" w:eastAsia="Arial" w:hAnsiTheme="majorHAnsi" w:cstheme="majorHAnsi"/>
          <w:sz w:val="22"/>
          <w:szCs w:val="22"/>
        </w:rPr>
        <w:t>MAIOR DESCONTO, devendo ser observada a tabela mais a</w:t>
      </w:r>
      <w:r w:rsidR="009766B5">
        <w:rPr>
          <w:rFonts w:asciiTheme="majorHAnsi" w:eastAsia="Arial" w:hAnsiTheme="majorHAnsi" w:cstheme="majorHAnsi"/>
          <w:sz w:val="22"/>
          <w:szCs w:val="22"/>
        </w:rPr>
        <w:t>tualizada, conforme modelo anexo</w:t>
      </w:r>
      <w:r w:rsidRPr="00237AA8">
        <w:rPr>
          <w:rFonts w:asciiTheme="majorHAnsi" w:eastAsia="Arial" w:hAnsiTheme="majorHAnsi" w:cstheme="majorHAnsi"/>
          <w:sz w:val="22"/>
          <w:szCs w:val="22"/>
        </w:rPr>
        <w:t>.</w:t>
      </w:r>
    </w:p>
    <w:p w14:paraId="5474A6AE" w14:textId="70E0EA51" w:rsidR="005C208F" w:rsidRPr="005C208F" w:rsidRDefault="005C208F" w:rsidP="005C208F">
      <w:pPr>
        <w:pStyle w:val="Nvel1-SemNumPreto"/>
        <w:rPr>
          <w:rFonts w:asciiTheme="majorHAnsi" w:hAnsiTheme="majorHAnsi" w:cstheme="majorHAnsi"/>
          <w:color w:val="00000A"/>
          <w:spacing w:val="0"/>
          <w:sz w:val="22"/>
          <w:szCs w:val="22"/>
          <w:lang w:eastAsia="en-US" w:bidi="ar-SA"/>
        </w:rPr>
      </w:pPr>
      <w:r w:rsidRPr="005C208F">
        <w:rPr>
          <w:rFonts w:asciiTheme="majorHAnsi" w:hAnsiTheme="majorHAnsi" w:cstheme="majorHAnsi"/>
          <w:color w:val="00000A"/>
          <w:spacing w:val="0"/>
          <w:sz w:val="22"/>
          <w:szCs w:val="22"/>
          <w:lang w:eastAsia="en-US" w:bidi="ar-SA"/>
        </w:rPr>
        <w:t>Forma de fornecimento</w:t>
      </w:r>
    </w:p>
    <w:p w14:paraId="1A2B40BF" w14:textId="12A5DE31" w:rsidR="005C208F" w:rsidRPr="0020168A" w:rsidRDefault="005C208F" w:rsidP="00A65CF2">
      <w:pPr>
        <w:pStyle w:val="Nivel2"/>
        <w:numPr>
          <w:ilvl w:val="1"/>
          <w:numId w:val="1"/>
        </w:numPr>
        <w:ind w:left="426"/>
      </w:pPr>
      <w:r>
        <w:rPr>
          <w:rStyle w:val="normaltextrun"/>
          <w:shd w:val="clear" w:color="auto" w:fill="FFFFFF"/>
        </w:rPr>
        <w:t xml:space="preserve">O </w:t>
      </w:r>
      <w:r>
        <w:rPr>
          <w:rStyle w:val="findhit"/>
          <w:shd w:val="clear" w:color="auto" w:fill="FFFFFF"/>
        </w:rPr>
        <w:t xml:space="preserve">fornecimento do objeto </w:t>
      </w:r>
      <w:r w:rsidRPr="00A65CF2">
        <w:rPr>
          <w:rStyle w:val="findhit"/>
          <w:color w:val="000000" w:themeColor="text1"/>
          <w:shd w:val="clear" w:color="auto" w:fill="FFFFFF"/>
        </w:rPr>
        <w:t xml:space="preserve">será </w:t>
      </w:r>
      <w:r w:rsidRPr="00A65CF2">
        <w:rPr>
          <w:color w:val="000000" w:themeColor="text1"/>
        </w:rPr>
        <w:t>parcelado</w:t>
      </w:r>
      <w:r w:rsidR="00A65CF2">
        <w:rPr>
          <w:color w:val="000000" w:themeColor="text1"/>
        </w:rPr>
        <w:t>, conforme a demanda</w:t>
      </w:r>
      <w:r w:rsidRPr="00A65CF2">
        <w:rPr>
          <w:color w:val="000000" w:themeColor="text1"/>
          <w:shd w:val="clear" w:color="auto" w:fill="FFFFFF"/>
        </w:rPr>
        <w:t>.</w:t>
      </w:r>
    </w:p>
    <w:p w14:paraId="5DB671D9" w14:textId="3B8FC5E9" w:rsidR="003F2EEF" w:rsidRPr="00237AA8" w:rsidRDefault="006F1B16" w:rsidP="00A65CF2">
      <w:pPr>
        <w:pStyle w:val="Nvel1-SemNum"/>
        <w:spacing w:before="120" w:after="120" w:line="240" w:lineRule="exact"/>
        <w:ind w:left="0"/>
        <w:rPr>
          <w:rFonts w:asciiTheme="majorHAnsi" w:hAnsiTheme="majorHAnsi" w:cstheme="majorHAnsi"/>
          <w:color w:val="00000A"/>
          <w:sz w:val="22"/>
          <w:szCs w:val="22"/>
        </w:rPr>
      </w:pPr>
      <w:r w:rsidRPr="00237AA8">
        <w:rPr>
          <w:rFonts w:asciiTheme="majorHAnsi" w:hAnsiTheme="majorHAnsi" w:cstheme="majorHAnsi"/>
          <w:color w:val="00000A"/>
          <w:sz w:val="22"/>
          <w:szCs w:val="22"/>
          <w:lang w:eastAsia="en-US"/>
        </w:rPr>
        <w:t>Exigências de habilitação</w:t>
      </w:r>
    </w:p>
    <w:p w14:paraId="3B3A689A" w14:textId="77777777" w:rsidR="003F2EEF" w:rsidRPr="00237AA8" w:rsidRDefault="006F1B16" w:rsidP="00A65CF2">
      <w:pPr>
        <w:pStyle w:val="Nivel2"/>
        <w:numPr>
          <w:ilvl w:val="1"/>
          <w:numId w:val="1"/>
        </w:numPr>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Para fins de habilitação, deverá o licitante comprovar os seguintes requisitos:</w:t>
      </w:r>
    </w:p>
    <w:p w14:paraId="4ACB9C75" w14:textId="7049C48E" w:rsidR="003F2EEF" w:rsidRPr="00237AA8" w:rsidRDefault="006F1B16" w:rsidP="00A65CF2">
      <w:pPr>
        <w:pStyle w:val="Nvel1-SemNum"/>
        <w:spacing w:before="120" w:after="120" w:line="240" w:lineRule="exact"/>
        <w:ind w:left="0"/>
        <w:rPr>
          <w:rFonts w:asciiTheme="majorHAnsi" w:hAnsiTheme="majorHAnsi" w:cstheme="majorHAnsi"/>
          <w:color w:val="00000A"/>
          <w:sz w:val="22"/>
          <w:szCs w:val="22"/>
          <w:lang w:eastAsia="zh-CN" w:bidi="hi-IN"/>
        </w:rPr>
      </w:pPr>
      <w:r w:rsidRPr="00237AA8">
        <w:rPr>
          <w:rFonts w:asciiTheme="majorHAnsi" w:hAnsiTheme="majorHAnsi" w:cstheme="majorHAnsi"/>
          <w:color w:val="00000A"/>
          <w:sz w:val="22"/>
          <w:szCs w:val="22"/>
          <w:lang w:eastAsia="zh-CN" w:bidi="hi-IN"/>
        </w:rPr>
        <w:t>Habilitação jurídica</w:t>
      </w:r>
    </w:p>
    <w:p w14:paraId="003E1D68" w14:textId="77777777" w:rsidR="003F2EEF" w:rsidRPr="00237AA8" w:rsidRDefault="006F1B16" w:rsidP="00A65CF2">
      <w:pPr>
        <w:pStyle w:val="Nivel2"/>
        <w:numPr>
          <w:ilvl w:val="1"/>
          <w:numId w:val="1"/>
        </w:numPr>
        <w:spacing w:line="240" w:lineRule="exact"/>
        <w:ind w:left="0" w:firstLine="0"/>
        <w:rPr>
          <w:rFonts w:asciiTheme="majorHAnsi" w:hAnsiTheme="majorHAnsi" w:cstheme="majorHAnsi"/>
          <w:sz w:val="22"/>
          <w:szCs w:val="22"/>
        </w:rPr>
      </w:pPr>
      <w:bookmarkStart w:id="6" w:name="_Ref115800561"/>
      <w:r w:rsidRPr="00237AA8">
        <w:rPr>
          <w:rFonts w:asciiTheme="majorHAnsi" w:hAnsiTheme="majorHAnsi" w:cstheme="majorHAnsi"/>
          <w:b/>
          <w:bCs/>
          <w:sz w:val="22"/>
          <w:szCs w:val="22"/>
        </w:rPr>
        <w:t>Pessoa física:</w:t>
      </w:r>
      <w:bookmarkEnd w:id="6"/>
      <w:r w:rsidRPr="00237AA8">
        <w:rPr>
          <w:rFonts w:asciiTheme="majorHAnsi" w:hAnsiTheme="majorHAnsi" w:cstheme="majorHAnsi"/>
          <w:sz w:val="22"/>
          <w:szCs w:val="22"/>
        </w:rPr>
        <w:t xml:space="preserve"> cédula de identidade (RG) ou documento equivalente que, por força de lei, tenha validade para fins de identificação em todo o território nacional;</w:t>
      </w:r>
    </w:p>
    <w:p w14:paraId="69FADDA5" w14:textId="77777777" w:rsidR="003F2EEF" w:rsidRPr="00237AA8" w:rsidRDefault="006F1B16" w:rsidP="00A65CF2">
      <w:pPr>
        <w:pStyle w:val="Nivel2"/>
        <w:numPr>
          <w:ilvl w:val="1"/>
          <w:numId w:val="1"/>
        </w:numPr>
        <w:spacing w:line="240" w:lineRule="exact"/>
        <w:ind w:left="0" w:firstLine="0"/>
        <w:rPr>
          <w:rFonts w:asciiTheme="majorHAnsi" w:hAnsiTheme="majorHAnsi" w:cstheme="majorHAnsi"/>
          <w:sz w:val="22"/>
          <w:szCs w:val="22"/>
        </w:rPr>
      </w:pPr>
      <w:r w:rsidRPr="00237AA8">
        <w:rPr>
          <w:rFonts w:asciiTheme="majorHAnsi" w:hAnsiTheme="majorHAnsi" w:cstheme="majorHAnsi"/>
          <w:b/>
          <w:bCs/>
          <w:sz w:val="22"/>
          <w:szCs w:val="22"/>
        </w:rPr>
        <w:t>Empresário individual:</w:t>
      </w:r>
      <w:r w:rsidRPr="00237AA8">
        <w:rPr>
          <w:rFonts w:asciiTheme="majorHAnsi" w:hAnsiTheme="majorHAnsi" w:cstheme="majorHAnsi"/>
          <w:sz w:val="22"/>
          <w:szCs w:val="22"/>
        </w:rPr>
        <w:t xml:space="preserve"> inscrição no Registro Público de Empresas Mercantis, a cargo da Junta Comercial da respectiva sede; </w:t>
      </w:r>
    </w:p>
    <w:p w14:paraId="5815EBFE" w14:textId="77777777" w:rsidR="003F2EEF" w:rsidRPr="00237AA8" w:rsidRDefault="006F1B16" w:rsidP="00A65CF2">
      <w:pPr>
        <w:pStyle w:val="Nivel2"/>
        <w:numPr>
          <w:ilvl w:val="1"/>
          <w:numId w:val="1"/>
        </w:numPr>
        <w:spacing w:line="240" w:lineRule="exact"/>
        <w:ind w:left="0" w:firstLine="0"/>
        <w:rPr>
          <w:rFonts w:asciiTheme="majorHAnsi" w:hAnsiTheme="majorHAnsi" w:cstheme="majorHAnsi"/>
          <w:sz w:val="22"/>
          <w:szCs w:val="22"/>
        </w:rPr>
      </w:pPr>
      <w:r w:rsidRPr="00237AA8">
        <w:rPr>
          <w:rFonts w:asciiTheme="majorHAnsi" w:hAnsiTheme="majorHAnsi" w:cstheme="majorHAnsi"/>
          <w:b/>
          <w:bCs/>
          <w:sz w:val="22"/>
          <w:szCs w:val="22"/>
        </w:rPr>
        <w:t>Microempreendedor Individual - MEI:</w:t>
      </w:r>
      <w:r w:rsidRPr="00237AA8">
        <w:rPr>
          <w:rFonts w:asciiTheme="majorHAnsi" w:hAnsiTheme="majorHAnsi" w:cstheme="majorHAnsi"/>
          <w:sz w:val="22"/>
          <w:szCs w:val="22"/>
        </w:rPr>
        <w:t xml:space="preserve"> Certificado da Condição de Microempreendedor Individual - CCMEI, cuja aceitação ficará condicionada à verificação da autenticidade no sítio </w:t>
      </w:r>
      <w:hyperlink r:id="rId42">
        <w:r w:rsidRPr="00237AA8">
          <w:rPr>
            <w:rStyle w:val="LinkdaInternet"/>
            <w:rFonts w:asciiTheme="majorHAnsi" w:hAnsiTheme="majorHAnsi" w:cstheme="majorHAnsi"/>
            <w:sz w:val="22"/>
            <w:szCs w:val="22"/>
          </w:rPr>
          <w:t>https://www.gov.br/empresas-e-negocios/pt-br/empreendedor</w:t>
        </w:r>
      </w:hyperlink>
      <w:r w:rsidRPr="00237AA8">
        <w:rPr>
          <w:rFonts w:asciiTheme="majorHAnsi" w:hAnsiTheme="majorHAnsi" w:cstheme="majorHAnsi"/>
          <w:sz w:val="22"/>
          <w:szCs w:val="22"/>
        </w:rPr>
        <w:t xml:space="preserve">; </w:t>
      </w:r>
    </w:p>
    <w:p w14:paraId="5C0B4A76" w14:textId="77777777" w:rsidR="003F2EEF" w:rsidRPr="00237AA8" w:rsidRDefault="006F1B16" w:rsidP="00A65CF2">
      <w:pPr>
        <w:pStyle w:val="Nivel2"/>
        <w:numPr>
          <w:ilvl w:val="1"/>
          <w:numId w:val="1"/>
        </w:numPr>
        <w:spacing w:line="240" w:lineRule="exact"/>
        <w:ind w:left="0" w:firstLine="0"/>
        <w:rPr>
          <w:rFonts w:asciiTheme="majorHAnsi" w:hAnsiTheme="majorHAnsi" w:cstheme="majorHAnsi"/>
          <w:sz w:val="22"/>
          <w:szCs w:val="22"/>
        </w:rPr>
      </w:pPr>
      <w:r w:rsidRPr="00237AA8">
        <w:rPr>
          <w:rFonts w:asciiTheme="majorHAnsi" w:hAnsiTheme="majorHAnsi" w:cstheme="majorHAnsi"/>
          <w:b/>
          <w:bCs/>
          <w:sz w:val="22"/>
          <w:szCs w:val="22"/>
        </w:rPr>
        <w:t>Sociedade empresária, sociedade limitada unipessoal – SLU ou sociedade identificada como empresa individual de responsabilidade limitada - EIRELI:</w:t>
      </w:r>
      <w:r w:rsidRPr="00237AA8">
        <w:rPr>
          <w:rFonts w:asciiTheme="majorHAnsi" w:hAnsiTheme="majorHAnsi" w:cstheme="majorHAnsi"/>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38346CE1"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b/>
          <w:bCs/>
          <w:sz w:val="22"/>
          <w:szCs w:val="22"/>
        </w:rPr>
        <w:t>Sociedade empresária estrangeira:</w:t>
      </w:r>
      <w:r w:rsidRPr="00237AA8">
        <w:rPr>
          <w:rFonts w:asciiTheme="majorHAnsi" w:hAnsiTheme="majorHAnsi" w:cstheme="maj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3">
        <w:r w:rsidRPr="00237AA8">
          <w:rPr>
            <w:rStyle w:val="LinkdaInternet"/>
            <w:rFonts w:asciiTheme="majorHAnsi" w:hAnsiTheme="majorHAnsi" w:cstheme="majorHAnsi"/>
            <w:sz w:val="22"/>
            <w:szCs w:val="22"/>
          </w:rPr>
          <w:t>Normativa DREI/ME n.º 77, de 18 de março de 2020</w:t>
        </w:r>
      </w:hyperlink>
      <w:r w:rsidRPr="00237AA8">
        <w:rPr>
          <w:rFonts w:asciiTheme="majorHAnsi" w:hAnsiTheme="majorHAnsi" w:cstheme="majorHAnsi"/>
          <w:sz w:val="22"/>
          <w:szCs w:val="22"/>
        </w:rPr>
        <w:t>.</w:t>
      </w:r>
    </w:p>
    <w:p w14:paraId="4E41CFAD"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b/>
          <w:bCs/>
          <w:sz w:val="22"/>
          <w:szCs w:val="22"/>
        </w:rPr>
        <w:t xml:space="preserve">Sociedade simples: </w:t>
      </w:r>
      <w:r w:rsidRPr="00237AA8">
        <w:rPr>
          <w:rFonts w:asciiTheme="majorHAnsi" w:hAnsiTheme="majorHAnsi" w:cstheme="majorHAnsi"/>
          <w:sz w:val="22"/>
          <w:szCs w:val="22"/>
        </w:rPr>
        <w:t>inscrição do ato constitutivo no Registro Civil de Pessoas Jurídicas do local de sua sede, acompanhada de documento comprobatório de seus administradores;</w:t>
      </w:r>
    </w:p>
    <w:p w14:paraId="4DC8F4D1"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b/>
          <w:bCs/>
          <w:sz w:val="22"/>
          <w:szCs w:val="22"/>
        </w:rPr>
        <w:lastRenderedPageBreak/>
        <w:t>Filial, sucursal ou agência de sociedade simples ou empresária:</w:t>
      </w:r>
      <w:r w:rsidRPr="00237AA8">
        <w:rPr>
          <w:rFonts w:asciiTheme="majorHAnsi" w:hAnsiTheme="majorHAnsi" w:cstheme="majorHAnsi"/>
          <w:sz w:val="22"/>
          <w:szCs w:val="22"/>
        </w:rPr>
        <w:t xml:space="preserve"> inscrição do ato constitutivo da filial, sucursal ou agência da sociedade simples ou empresária, respectivamente, no Registro Civil das Pessoas Jurídicas ou no Registro Público de Empresas </w:t>
      </w:r>
      <w:bookmarkStart w:id="7" w:name="_Int_ySfCXwr4"/>
      <w:r w:rsidRPr="00237AA8">
        <w:rPr>
          <w:rFonts w:asciiTheme="majorHAnsi" w:hAnsiTheme="majorHAnsi" w:cstheme="majorHAnsi"/>
          <w:sz w:val="22"/>
          <w:szCs w:val="22"/>
        </w:rPr>
        <w:t>Mercantis onde</w:t>
      </w:r>
      <w:bookmarkEnd w:id="7"/>
      <w:r w:rsidRPr="00237AA8">
        <w:rPr>
          <w:rFonts w:asciiTheme="majorHAnsi" w:hAnsiTheme="majorHAnsi" w:cstheme="majorHAnsi"/>
          <w:sz w:val="22"/>
          <w:szCs w:val="22"/>
        </w:rPr>
        <w:t xml:space="preserve"> opera, com averbação no Registro onde tem sede a matriz</w:t>
      </w:r>
    </w:p>
    <w:p w14:paraId="3164CF04"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b/>
          <w:bCs/>
          <w:sz w:val="22"/>
          <w:szCs w:val="22"/>
        </w:rPr>
        <w:t>Sociedade cooperativa:</w:t>
      </w:r>
      <w:r w:rsidRPr="00237AA8">
        <w:rPr>
          <w:rFonts w:asciiTheme="majorHAnsi" w:hAnsiTheme="majorHAnsi" w:cstheme="maj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44" w:anchor="art107" w:history="1">
        <w:r w:rsidRPr="00237AA8">
          <w:rPr>
            <w:rStyle w:val="LinkdaInternet"/>
            <w:rFonts w:asciiTheme="majorHAnsi" w:hAnsiTheme="majorHAnsi" w:cstheme="majorHAnsi"/>
            <w:sz w:val="22"/>
            <w:szCs w:val="22"/>
          </w:rPr>
          <w:t>art. 107 da Lei nº 5.764, de 16 de dezembro 1971</w:t>
        </w:r>
      </w:hyperlink>
      <w:r w:rsidRPr="00237AA8">
        <w:rPr>
          <w:rFonts w:asciiTheme="majorHAnsi" w:hAnsiTheme="majorHAnsi" w:cstheme="majorHAnsi"/>
          <w:sz w:val="22"/>
          <w:szCs w:val="22"/>
        </w:rPr>
        <w:t>.</w:t>
      </w:r>
    </w:p>
    <w:p w14:paraId="0366A52C"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b/>
          <w:bCs/>
          <w:sz w:val="22"/>
          <w:szCs w:val="22"/>
        </w:rPr>
        <w:t>Agricultor familiar:</w:t>
      </w:r>
      <w:r w:rsidRPr="00237AA8">
        <w:rPr>
          <w:rFonts w:asciiTheme="majorHAnsi" w:hAnsiTheme="majorHAnsi" w:cstheme="majorHAnsi"/>
          <w:sz w:val="22"/>
          <w:szCs w:val="22"/>
        </w:rPr>
        <w:t xml:space="preserve"> Declaração de Aptidão ao Pronaf – DAP ou DAP-P válida, ou, ainda, outros documentos definidos pela Secretaria Especial de Agricultura Familiar e do Desenvolvimento Agrário, nos termos do</w:t>
      </w:r>
      <w:hyperlink r:id="rId45" w:anchor="art4§2" w:history="1">
        <w:r w:rsidRPr="00237AA8">
          <w:rPr>
            <w:rStyle w:val="LinkdaInternet"/>
            <w:rFonts w:asciiTheme="majorHAnsi" w:hAnsiTheme="majorHAnsi" w:cstheme="majorHAnsi"/>
            <w:sz w:val="22"/>
            <w:szCs w:val="22"/>
          </w:rPr>
          <w:t xml:space="preserve"> art. 4º, §2º do Decreto nº 10.880, de 2 de dezembro de 2021</w:t>
        </w:r>
      </w:hyperlink>
      <w:r w:rsidRPr="00237AA8">
        <w:rPr>
          <w:rFonts w:asciiTheme="majorHAnsi" w:hAnsiTheme="majorHAnsi" w:cstheme="majorHAnsi"/>
          <w:sz w:val="22"/>
          <w:szCs w:val="22"/>
        </w:rPr>
        <w:t>.</w:t>
      </w:r>
    </w:p>
    <w:p w14:paraId="13DB3EDC" w14:textId="127EAD51" w:rsidR="003F2EEF"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b/>
          <w:bCs/>
          <w:sz w:val="22"/>
          <w:szCs w:val="22"/>
        </w:rPr>
        <w:t>Produtor Rural:</w:t>
      </w:r>
      <w:r w:rsidRPr="00237AA8">
        <w:rPr>
          <w:rFonts w:asciiTheme="majorHAnsi" w:hAnsiTheme="majorHAnsi" w:cstheme="majorHAnsi"/>
          <w:sz w:val="22"/>
          <w:szCs w:val="22"/>
        </w:rPr>
        <w:t xml:space="preserve"> matrícula no Cadastro Específico do INSS – CEI, que comprove a qualificação como produtor rural pessoa física, nos termos da </w:t>
      </w:r>
      <w:hyperlink r:id="rId46">
        <w:r w:rsidRPr="00237AA8">
          <w:rPr>
            <w:rStyle w:val="LinkdaInternet"/>
            <w:rFonts w:asciiTheme="majorHAnsi" w:hAnsiTheme="majorHAnsi" w:cstheme="majorHAnsi"/>
            <w:sz w:val="22"/>
            <w:szCs w:val="22"/>
          </w:rPr>
          <w:t>Instrução Normativa RFB n. 971, de 13 de novembro de 2009</w:t>
        </w:r>
      </w:hyperlink>
      <w:r w:rsidRPr="00237AA8">
        <w:rPr>
          <w:rFonts w:asciiTheme="majorHAnsi" w:hAnsiTheme="majorHAnsi" w:cstheme="majorHAnsi"/>
          <w:sz w:val="22"/>
          <w:szCs w:val="22"/>
        </w:rPr>
        <w:t xml:space="preserve"> (arts. 17 a 19 e 165).</w:t>
      </w:r>
    </w:p>
    <w:p w14:paraId="5D074866" w14:textId="772A0193" w:rsidR="003F2EEF"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Os documentos apresentados deverão estar acompanhados de todas as alterações ou da consolidação respectiva.</w:t>
      </w:r>
    </w:p>
    <w:p w14:paraId="7B716005" w14:textId="77777777" w:rsidR="003F2EEF" w:rsidRPr="00237AA8" w:rsidRDefault="006F1B16" w:rsidP="00A65CF2">
      <w:pPr>
        <w:pStyle w:val="Nvel1-SemNum"/>
        <w:tabs>
          <w:tab w:val="clear" w:pos="567"/>
          <w:tab w:val="left" w:pos="709"/>
        </w:tabs>
        <w:spacing w:before="120" w:after="120" w:line="240" w:lineRule="exact"/>
        <w:ind w:left="0"/>
        <w:rPr>
          <w:rFonts w:asciiTheme="majorHAnsi" w:hAnsiTheme="majorHAnsi" w:cstheme="majorHAnsi"/>
          <w:color w:val="00000A"/>
          <w:sz w:val="22"/>
          <w:szCs w:val="22"/>
          <w:lang w:eastAsia="zh-CN" w:bidi="hi-IN"/>
        </w:rPr>
      </w:pPr>
      <w:r w:rsidRPr="00237AA8">
        <w:rPr>
          <w:rFonts w:asciiTheme="majorHAnsi" w:hAnsiTheme="majorHAnsi" w:cstheme="majorHAnsi"/>
          <w:color w:val="00000A"/>
          <w:sz w:val="22"/>
          <w:szCs w:val="22"/>
          <w:lang w:eastAsia="zh-CN" w:bidi="hi-IN"/>
        </w:rPr>
        <w:t>Habilitação fiscal, social e trabalhista</w:t>
      </w:r>
    </w:p>
    <w:p w14:paraId="477DA065"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Prova de inscrição no Cadastro Nacional de Pessoas Jurídicas ou no Cadastro de Pessoas Físicas, conforme o caso;</w:t>
      </w:r>
    </w:p>
    <w:p w14:paraId="397F10D8"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AB5F340"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Prova de regularidade com o Fundo de Garantia do Tempo de Serviço (FGTS);</w:t>
      </w:r>
    </w:p>
    <w:p w14:paraId="1141D4B7" w14:textId="333E4A4D" w:rsidR="003F2EEF" w:rsidRPr="00237AA8" w:rsidRDefault="006F1B16" w:rsidP="008F221C">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58A2AA0"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 xml:space="preserve">Prova de inscrição no cadastro de contribuintes </w:t>
      </w:r>
      <w:r w:rsidRPr="00237AA8">
        <w:rPr>
          <w:rFonts w:asciiTheme="majorHAnsi" w:hAnsiTheme="majorHAnsi" w:cstheme="majorHAnsi"/>
          <w:i/>
          <w:iCs/>
          <w:color w:val="FF0000"/>
          <w:sz w:val="22"/>
          <w:szCs w:val="22"/>
        </w:rPr>
        <w:t xml:space="preserve">Estadual/Distrital </w:t>
      </w:r>
      <w:r w:rsidRPr="00237AA8">
        <w:rPr>
          <w:rFonts w:asciiTheme="majorHAnsi" w:hAnsiTheme="majorHAnsi" w:cstheme="majorHAnsi"/>
          <w:sz w:val="22"/>
          <w:szCs w:val="22"/>
        </w:rPr>
        <w:t xml:space="preserve">relativo ao domicílio ou sede do fornecedor, pertinente ao seu ramo de atividade e compatível com o objeto contratual; </w:t>
      </w:r>
    </w:p>
    <w:p w14:paraId="4092142B" w14:textId="77777777" w:rsidR="003F2EEF" w:rsidRPr="00237AA8" w:rsidRDefault="006F1B16" w:rsidP="00A65CF2">
      <w:pPr>
        <w:pStyle w:val="Nivel2"/>
        <w:numPr>
          <w:ilvl w:val="1"/>
          <w:numId w:val="1"/>
        </w:numPr>
        <w:tabs>
          <w:tab w:val="left" w:pos="709"/>
        </w:tabs>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 xml:space="preserve">Prova de regularidade com a Fazenda </w:t>
      </w:r>
      <w:r w:rsidRPr="00237AA8">
        <w:rPr>
          <w:rFonts w:asciiTheme="majorHAnsi" w:hAnsiTheme="majorHAnsi" w:cstheme="majorHAnsi"/>
          <w:i/>
          <w:iCs/>
          <w:color w:val="FF0000"/>
          <w:sz w:val="22"/>
          <w:szCs w:val="22"/>
        </w:rPr>
        <w:t xml:space="preserve">Estadual/Distrital </w:t>
      </w:r>
      <w:r w:rsidRPr="00237AA8">
        <w:rPr>
          <w:rFonts w:asciiTheme="majorHAnsi" w:hAnsiTheme="majorHAnsi" w:cstheme="majorHAnsi"/>
          <w:sz w:val="22"/>
          <w:szCs w:val="22"/>
        </w:rPr>
        <w:t>do domicílio ou sede do fornecedor, relativa à atividade em cujo exercício contrata ou concorre;</w:t>
      </w:r>
    </w:p>
    <w:p w14:paraId="3F1C7982" w14:textId="77777777" w:rsidR="003F2EEF" w:rsidRPr="00237AA8" w:rsidRDefault="006F1B16" w:rsidP="008F221C">
      <w:pPr>
        <w:pStyle w:val="Nivel2"/>
        <w:numPr>
          <w:ilvl w:val="1"/>
          <w:numId w:val="1"/>
        </w:numPr>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 xml:space="preserve">Caso o fornecedor seja considerado isento dos tributos </w:t>
      </w:r>
      <w:r w:rsidRPr="00237AA8">
        <w:rPr>
          <w:rFonts w:asciiTheme="majorHAnsi" w:hAnsiTheme="majorHAnsi" w:cstheme="majorHAnsi"/>
          <w:i/>
          <w:iCs/>
          <w:color w:val="FF0000"/>
          <w:sz w:val="22"/>
          <w:szCs w:val="22"/>
        </w:rPr>
        <w:t xml:space="preserve">Estadual/Distrital </w:t>
      </w:r>
      <w:r w:rsidRPr="00237AA8">
        <w:rPr>
          <w:rFonts w:asciiTheme="majorHAnsi" w:hAnsiTheme="majorHAnsi" w:cstheme="majorHAnsi"/>
          <w:sz w:val="22"/>
          <w:szCs w:val="22"/>
        </w:rPr>
        <w:t>relacionados ao objeto contratual, deverá comprovar tal condição mediante a apresentação de declaração da Fazenda respectiva do seu domicílio ou sede, ou outra equivalente, na forma da lei.</w:t>
      </w:r>
    </w:p>
    <w:p w14:paraId="426E396F" w14:textId="4E88F09C" w:rsidR="003F2EEF" w:rsidRDefault="006F1B16" w:rsidP="008F221C">
      <w:pPr>
        <w:pStyle w:val="Nivel2"/>
        <w:numPr>
          <w:ilvl w:val="1"/>
          <w:numId w:val="1"/>
        </w:numPr>
        <w:spacing w:line="240" w:lineRule="exact"/>
        <w:ind w:left="0" w:firstLine="0"/>
        <w:rPr>
          <w:rFonts w:asciiTheme="majorHAnsi" w:hAnsiTheme="majorHAnsi" w:cstheme="majorHAnsi"/>
          <w:sz w:val="22"/>
          <w:szCs w:val="22"/>
        </w:rPr>
      </w:pPr>
      <w:r w:rsidRPr="00237AA8">
        <w:rPr>
          <w:rFonts w:asciiTheme="majorHAnsi" w:hAnsiTheme="majorHAnsi" w:cstheme="maj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BF691A4" w14:textId="77777777" w:rsidR="00CB1132" w:rsidRPr="00CB1132" w:rsidRDefault="00CB1132" w:rsidP="00CB1132">
      <w:pPr>
        <w:pStyle w:val="Nvel1-SemNumPreto"/>
        <w:rPr>
          <w:rFonts w:asciiTheme="majorHAnsi" w:hAnsiTheme="majorHAnsi" w:cstheme="majorHAnsi"/>
          <w:color w:val="00000A"/>
          <w:spacing w:val="0"/>
          <w:sz w:val="22"/>
          <w:szCs w:val="22"/>
          <w:lang w:eastAsia="en-US" w:bidi="ar-SA"/>
        </w:rPr>
      </w:pPr>
      <w:commentRangeStart w:id="8"/>
      <w:r w:rsidRPr="00CB1132">
        <w:rPr>
          <w:rFonts w:asciiTheme="majorHAnsi" w:hAnsiTheme="majorHAnsi" w:cstheme="majorHAnsi"/>
          <w:color w:val="00000A"/>
          <w:spacing w:val="0"/>
          <w:sz w:val="22"/>
          <w:szCs w:val="22"/>
          <w:lang w:eastAsia="en-US" w:bidi="ar-SA"/>
        </w:rPr>
        <w:t>Qualificação Econômico-Financeira</w:t>
      </w:r>
      <w:commentRangeEnd w:id="8"/>
      <w:r w:rsidRPr="00CB1132">
        <w:rPr>
          <w:rFonts w:asciiTheme="majorHAnsi" w:hAnsiTheme="majorHAnsi" w:cstheme="majorHAnsi"/>
          <w:color w:val="00000A"/>
          <w:spacing w:val="0"/>
          <w:sz w:val="22"/>
          <w:szCs w:val="22"/>
          <w:lang w:eastAsia="en-US" w:bidi="ar-SA"/>
        </w:rPr>
        <w:commentReference w:id="8"/>
      </w:r>
    </w:p>
    <w:p w14:paraId="5D3DFF5E" w14:textId="3BC3102C" w:rsidR="00CB1132" w:rsidRPr="0020168A" w:rsidRDefault="00CB1132" w:rsidP="00CB1132">
      <w:pPr>
        <w:pStyle w:val="Nivel2"/>
        <w:numPr>
          <w:ilvl w:val="1"/>
          <w:numId w:val="1"/>
        </w:numPr>
        <w:ind w:left="0" w:firstLine="0"/>
      </w:pPr>
      <w:r>
        <w:t>Certidão negativa de insolvência civil expedida pelo distribuidor do domicílio ou sede do licitante, caso se trate de pessoa física, desde que admitida a sua participação na licitação (</w:t>
      </w:r>
      <w:hyperlink r:id="rId47" w:anchor="art5">
        <w:r w:rsidRPr="0C492A58">
          <w:rPr>
            <w:rStyle w:val="Hyperlink"/>
          </w:rPr>
          <w:t>art. 5º, inciso II, alínea “c”, da Instrução Normativa Seges/ME nº 116, de 2021</w:t>
        </w:r>
      </w:hyperlink>
      <w:r>
        <w:t xml:space="preserve">), ou de sociedade simples; </w:t>
      </w:r>
    </w:p>
    <w:p w14:paraId="2E7A9B3B" w14:textId="77777777" w:rsidR="00CB1132" w:rsidRDefault="00CB1132" w:rsidP="00CB1132">
      <w:pPr>
        <w:pStyle w:val="Nivel2"/>
        <w:numPr>
          <w:ilvl w:val="1"/>
          <w:numId w:val="1"/>
        </w:numPr>
        <w:ind w:left="0" w:firstLine="0"/>
      </w:pPr>
      <w:r>
        <w:lastRenderedPageBreak/>
        <w:t xml:space="preserve">Certidão negativa de falência expedida pelo distribuidor da sede do fornecedor - </w:t>
      </w:r>
      <w:hyperlink r:id="rId48" w:anchor="art69">
        <w:r w:rsidRPr="0C492A58">
          <w:rPr>
            <w:rStyle w:val="Hyperlink"/>
          </w:rPr>
          <w:t>Lei nº 14.133, de 2021, art. 69, caput, inciso II</w:t>
        </w:r>
      </w:hyperlink>
      <w:r>
        <w:t>);</w:t>
      </w:r>
    </w:p>
    <w:p w14:paraId="30A1F75B" w14:textId="77777777" w:rsidR="00CB1132" w:rsidRDefault="00CB1132" w:rsidP="00CB1132">
      <w:pPr>
        <w:pStyle w:val="Nivel2"/>
        <w:numPr>
          <w:ilvl w:val="1"/>
          <w:numId w:val="1"/>
        </w:numPr>
        <w:ind w:left="0" w:firstLine="0"/>
      </w:pPr>
      <w:r>
        <w:t>Balanço patrimonial, demonstração de resultado de exercício e demais demonstrações contábeis dos 2 (dois) últimos exercícios sociais, comprovando;</w:t>
      </w:r>
    </w:p>
    <w:p w14:paraId="509B3E7E" w14:textId="77777777" w:rsidR="00CB1132" w:rsidRDefault="00CB1132" w:rsidP="00CB1132">
      <w:pPr>
        <w:pStyle w:val="Nivel3"/>
        <w:numPr>
          <w:ilvl w:val="2"/>
          <w:numId w:val="1"/>
        </w:numPr>
        <w:ind w:left="284" w:firstLine="0"/>
      </w:pPr>
      <w:r>
        <w:t>índices de Liquidez Geral (LG), Liquidez Corrente (LC), e Solvência Geral (SG) superiores a 1 (um);</w:t>
      </w:r>
    </w:p>
    <w:p w14:paraId="6EB938D8" w14:textId="77777777" w:rsidR="00CB1132" w:rsidRDefault="00CB1132" w:rsidP="00CB1132">
      <w:pPr>
        <w:pStyle w:val="Nivel3"/>
        <w:numPr>
          <w:ilvl w:val="2"/>
          <w:numId w:val="1"/>
        </w:numPr>
        <w:ind w:left="284" w:firstLine="0"/>
      </w:pPr>
      <w:r>
        <w:t>As empresas criadas no exercício financeiro da licitação deverão atender a todas as exigências da habilitação e poderão substituir os demonstrativos contábeis pelo balanço de abertura.</w:t>
      </w:r>
    </w:p>
    <w:p w14:paraId="52C6A4D6" w14:textId="77777777" w:rsidR="00CB1132" w:rsidRDefault="00CB1132" w:rsidP="00CB1132">
      <w:pPr>
        <w:pStyle w:val="Nivel3"/>
        <w:numPr>
          <w:ilvl w:val="2"/>
          <w:numId w:val="1"/>
        </w:numPr>
        <w:ind w:left="284" w:firstLine="0"/>
      </w:pPr>
      <w:r>
        <w:t>Os documentos referidos acima limitar-se-ão ao último exercício no caso de a pessoa jurídica ter sido constituída há menos de 2 (dois) anos;</w:t>
      </w:r>
    </w:p>
    <w:p w14:paraId="29AE9503" w14:textId="77777777" w:rsidR="00CB1132" w:rsidRDefault="00CB1132" w:rsidP="00CB1132">
      <w:pPr>
        <w:pStyle w:val="Nivel3"/>
        <w:numPr>
          <w:ilvl w:val="2"/>
          <w:numId w:val="1"/>
        </w:numPr>
        <w:ind w:left="284" w:firstLine="0"/>
      </w:pPr>
      <w:commentRangeStart w:id="9"/>
      <w:r w:rsidRPr="4EB864CD">
        <w:t xml:space="preserve">Os documentos referidos </w:t>
      </w:r>
      <w:commentRangeEnd w:id="9"/>
      <w:r>
        <w:rPr>
          <w:rStyle w:val="Refdecomentrio"/>
        </w:rPr>
        <w:commentReference w:id="9"/>
      </w:r>
      <w:r w:rsidRPr="4EB864CD">
        <w:t>acima deverão ser exigidos com base no limite definido pela Receita Federal do Brasil para transmissão da Escrituração Contábil Digital - ECD ao Sped.</w:t>
      </w:r>
    </w:p>
    <w:p w14:paraId="299763D1" w14:textId="372A13F8" w:rsidR="00CB1132" w:rsidRPr="005E6F84" w:rsidRDefault="00CB1132" w:rsidP="00CB1132">
      <w:pPr>
        <w:pStyle w:val="Nivel2"/>
        <w:numPr>
          <w:ilvl w:val="1"/>
          <w:numId w:val="1"/>
        </w:numPr>
        <w:ind w:left="0" w:firstLine="0"/>
      </w:pPr>
      <w:commentRangeStart w:id="10"/>
      <w:r w:rsidRPr="0C492A58">
        <w:t xml:space="preserve">Caso a empresa licitante apresente resultado inferior ou igual a 1 (um) em qualquer dos índices de Liquidez Geral (LG), Solvência Geral (SG) e Liquidez Corrente (LC), será exigido para fins de habilitação </w:t>
      </w:r>
      <w:r w:rsidRPr="00A22BFF">
        <w:rPr>
          <w:color w:val="000000" w:themeColor="text1"/>
        </w:rPr>
        <w:t xml:space="preserve">capital mínimo de </w:t>
      </w:r>
      <w:r w:rsidR="00A22BFF" w:rsidRPr="00A22BFF">
        <w:rPr>
          <w:color w:val="000000" w:themeColor="text1"/>
        </w:rPr>
        <w:t>2</w:t>
      </w:r>
      <w:r w:rsidRPr="00A22BFF">
        <w:rPr>
          <w:color w:val="000000" w:themeColor="text1"/>
        </w:rPr>
        <w:t>% do valor total estimado da parcela pertinente.</w:t>
      </w:r>
      <w:commentRangeEnd w:id="10"/>
      <w:r w:rsidRPr="00A22BFF">
        <w:rPr>
          <w:color w:val="000000" w:themeColor="text1"/>
        </w:rPr>
        <w:commentReference w:id="10"/>
      </w:r>
    </w:p>
    <w:p w14:paraId="2FDD0698" w14:textId="77777777" w:rsidR="00CB1132" w:rsidRPr="005E6F84" w:rsidRDefault="00CB1132" w:rsidP="00CB1132">
      <w:pPr>
        <w:pStyle w:val="Nivel2"/>
        <w:numPr>
          <w:ilvl w:val="1"/>
          <w:numId w:val="1"/>
        </w:numPr>
        <w:ind w:left="0" w:firstLine="0"/>
      </w:pPr>
      <w:r>
        <w:t>As empresas criadas no exercício financeiro da licitação deverão atender a todas as exigências da habilitação e poderão substituir os demonstrativos contábeis pelo balanço de abertura. (Lei nº 14.133, de 2021, art. 65, §1º).</w:t>
      </w:r>
    </w:p>
    <w:p w14:paraId="4D52BB80" w14:textId="1651C842" w:rsidR="00CB1132" w:rsidRPr="00A22BFF" w:rsidRDefault="00CB1132" w:rsidP="00CB1132">
      <w:pPr>
        <w:pStyle w:val="Nvel2-Red"/>
        <w:numPr>
          <w:ilvl w:val="1"/>
          <w:numId w:val="1"/>
        </w:numPr>
        <w:ind w:left="0" w:firstLine="0"/>
        <w:rPr>
          <w:color w:val="000000" w:themeColor="text1"/>
        </w:rPr>
      </w:pPr>
      <w:commentRangeStart w:id="11"/>
      <w:r w:rsidRPr="00A22BFF">
        <w:rPr>
          <w:color w:val="000000" w:themeColor="text1"/>
        </w:rPr>
        <w:t>O atendimento dos índices econômicos previstos neste item deverá ser atestado mediante declaração assinada por profissional habilitado da área contábil, apresentada pelo fornecedor.</w:t>
      </w:r>
      <w:commentRangeEnd w:id="11"/>
      <w:r w:rsidRPr="00A22BFF">
        <w:rPr>
          <w:color w:val="000000" w:themeColor="text1"/>
        </w:rPr>
        <w:commentReference w:id="11"/>
      </w:r>
    </w:p>
    <w:p w14:paraId="101ED46A" w14:textId="77777777" w:rsidR="00A22BFF" w:rsidRPr="00237AA8" w:rsidRDefault="00A22BFF" w:rsidP="00A22BFF">
      <w:pPr>
        <w:pStyle w:val="Nivel3"/>
        <w:spacing w:line="240" w:lineRule="exact"/>
        <w:ind w:left="879"/>
        <w:rPr>
          <w:rFonts w:asciiTheme="majorHAnsi" w:hAnsiTheme="majorHAnsi" w:cstheme="majorHAnsi"/>
          <w:sz w:val="22"/>
          <w:szCs w:val="22"/>
        </w:rPr>
      </w:pPr>
    </w:p>
    <w:p w14:paraId="4E2B5162" w14:textId="77777777" w:rsidR="003F2EEF" w:rsidRPr="00237AA8" w:rsidRDefault="006F1B16" w:rsidP="00327F9C">
      <w:pPr>
        <w:pStyle w:val="Nivel01"/>
        <w:numPr>
          <w:ilvl w:val="0"/>
          <w:numId w:val="1"/>
        </w:numPr>
        <w:spacing w:before="120" w:after="120" w:line="240" w:lineRule="exact"/>
        <w:rPr>
          <w:rFonts w:asciiTheme="majorHAnsi" w:hAnsiTheme="majorHAnsi" w:cstheme="majorHAnsi"/>
          <w:sz w:val="22"/>
          <w:szCs w:val="22"/>
          <w:highlight w:val="yellow"/>
        </w:rPr>
      </w:pPr>
      <w:r w:rsidRPr="00237AA8">
        <w:rPr>
          <w:rFonts w:asciiTheme="majorHAnsi" w:hAnsiTheme="majorHAnsi" w:cstheme="majorHAnsi"/>
          <w:sz w:val="22"/>
          <w:szCs w:val="22"/>
        </w:rPr>
        <w:t>ESTIMATIVAS DO VALOR DA CONTRATAÇÃO</w:t>
      </w:r>
    </w:p>
    <w:p w14:paraId="6EDE0CEB" w14:textId="56E1298F" w:rsidR="003F2EEF" w:rsidRPr="0001377C" w:rsidRDefault="006F1B16" w:rsidP="00490D6D">
      <w:pPr>
        <w:pStyle w:val="Nvel2-Red"/>
        <w:numPr>
          <w:ilvl w:val="1"/>
          <w:numId w:val="1"/>
        </w:numPr>
        <w:spacing w:line="240" w:lineRule="exact"/>
        <w:ind w:left="0" w:firstLine="0"/>
        <w:rPr>
          <w:rFonts w:asciiTheme="majorHAnsi" w:hAnsiTheme="majorHAnsi" w:cstheme="majorHAnsi"/>
          <w:i w:val="0"/>
          <w:sz w:val="22"/>
          <w:szCs w:val="22"/>
        </w:rPr>
      </w:pPr>
      <w:r w:rsidRPr="00490D6D">
        <w:rPr>
          <w:rFonts w:asciiTheme="majorHAnsi" w:hAnsiTheme="majorHAnsi" w:cstheme="majorHAnsi"/>
          <w:i w:val="0"/>
          <w:color w:val="000000"/>
          <w:sz w:val="22"/>
          <w:szCs w:val="22"/>
        </w:rPr>
        <w:t xml:space="preserve">O </w:t>
      </w:r>
      <w:r w:rsidR="009D6BFD">
        <w:rPr>
          <w:rFonts w:asciiTheme="majorHAnsi" w:hAnsiTheme="majorHAnsi" w:cstheme="majorHAnsi"/>
          <w:i w:val="0"/>
          <w:color w:val="000000"/>
          <w:sz w:val="22"/>
          <w:szCs w:val="22"/>
        </w:rPr>
        <w:t>valor de referência para aplicação do maior desconto</w:t>
      </w:r>
      <w:r w:rsidRPr="00490D6D">
        <w:rPr>
          <w:rFonts w:asciiTheme="majorHAnsi" w:hAnsiTheme="majorHAnsi" w:cstheme="majorHAnsi"/>
          <w:i w:val="0"/>
          <w:color w:val="000000"/>
          <w:sz w:val="22"/>
          <w:szCs w:val="22"/>
        </w:rPr>
        <w:t xml:space="preserve"> é de </w:t>
      </w:r>
      <w:bookmarkStart w:id="12" w:name="__DdeLink__938_1756089233"/>
      <w:r w:rsidRPr="00490D6D">
        <w:rPr>
          <w:rFonts w:asciiTheme="majorHAnsi" w:hAnsiTheme="majorHAnsi" w:cstheme="majorHAnsi"/>
          <w:i w:val="0"/>
          <w:color w:val="000000"/>
          <w:sz w:val="22"/>
          <w:szCs w:val="22"/>
        </w:rPr>
        <w:t xml:space="preserve">R$ </w:t>
      </w:r>
      <w:r w:rsidR="008E3191">
        <w:rPr>
          <w:rFonts w:asciiTheme="majorHAnsi" w:hAnsiTheme="majorHAnsi" w:cstheme="majorHAnsi"/>
          <w:i w:val="0"/>
          <w:color w:val="000000"/>
          <w:sz w:val="22"/>
          <w:szCs w:val="22"/>
        </w:rPr>
        <w:t>895.000,00</w:t>
      </w:r>
      <w:r w:rsidRPr="00490D6D">
        <w:rPr>
          <w:rFonts w:asciiTheme="majorHAnsi" w:hAnsiTheme="majorHAnsi" w:cstheme="majorHAnsi"/>
          <w:i w:val="0"/>
          <w:color w:val="000000" w:themeColor="text1"/>
          <w:sz w:val="22"/>
          <w:szCs w:val="22"/>
        </w:rPr>
        <w:t xml:space="preserve"> </w:t>
      </w:r>
      <w:bookmarkEnd w:id="12"/>
      <w:r w:rsidR="000202A4" w:rsidRPr="00FE152B">
        <w:rPr>
          <w:rFonts w:ascii="Calibri" w:hAnsi="Calibri" w:cs="Calibri"/>
          <w:b/>
          <w:color w:val="000000"/>
          <w:sz w:val="22"/>
          <w:szCs w:val="22"/>
        </w:rPr>
        <w:t>(</w:t>
      </w:r>
      <w:r w:rsidR="008E3191">
        <w:rPr>
          <w:rStyle w:val="Forte"/>
          <w:rFonts w:ascii="Calibri" w:eastAsia="Arial" w:hAnsi="Calibri" w:cs="Calibri"/>
          <w:b w:val="0"/>
          <w:bCs w:val="0"/>
          <w:iCs w:val="0"/>
          <w:color w:val="000000"/>
          <w:sz w:val="22"/>
          <w:szCs w:val="22"/>
        </w:rPr>
        <w:t>oitocentos e noventa e cinco mil reais</w:t>
      </w:r>
      <w:r w:rsidR="000202A4" w:rsidRPr="00FE152B">
        <w:rPr>
          <w:rFonts w:ascii="Calibri" w:hAnsi="Calibri" w:cs="Calibri"/>
          <w:b/>
          <w:color w:val="000000"/>
          <w:sz w:val="22"/>
          <w:szCs w:val="22"/>
        </w:rPr>
        <w:t>)</w:t>
      </w:r>
      <w:r w:rsidR="00291782">
        <w:rPr>
          <w:rFonts w:asciiTheme="majorHAnsi" w:hAnsiTheme="majorHAnsi" w:cstheme="majorHAnsi"/>
          <w:i w:val="0"/>
          <w:color w:val="000000"/>
          <w:sz w:val="22"/>
          <w:szCs w:val="22"/>
        </w:rPr>
        <w:t>, devendo ser observada a tabela SINAP anexa para a aplicação do desconto</w:t>
      </w:r>
      <w:r w:rsidR="00F361B6">
        <w:rPr>
          <w:rFonts w:asciiTheme="majorHAnsi" w:hAnsiTheme="majorHAnsi" w:cstheme="majorHAnsi"/>
          <w:i w:val="0"/>
          <w:color w:val="000000"/>
          <w:sz w:val="22"/>
          <w:szCs w:val="22"/>
        </w:rPr>
        <w:t>, conforme a natureza de cada item especificado na Tabela do Item 1 deste TR</w:t>
      </w:r>
      <w:r w:rsidRPr="00490D6D">
        <w:rPr>
          <w:rFonts w:asciiTheme="majorHAnsi" w:hAnsiTheme="majorHAnsi" w:cstheme="majorHAnsi"/>
          <w:i w:val="0"/>
          <w:color w:val="000000"/>
          <w:sz w:val="22"/>
          <w:szCs w:val="22"/>
        </w:rPr>
        <w:t>.</w:t>
      </w:r>
    </w:p>
    <w:p w14:paraId="2C3788E1" w14:textId="77777777" w:rsidR="0001377C" w:rsidRPr="00490D6D" w:rsidRDefault="0001377C" w:rsidP="0001377C">
      <w:pPr>
        <w:pStyle w:val="Nvel2-Red"/>
        <w:spacing w:line="240" w:lineRule="exact"/>
        <w:rPr>
          <w:rFonts w:asciiTheme="majorHAnsi" w:hAnsiTheme="majorHAnsi" w:cstheme="majorHAnsi"/>
          <w:i w:val="0"/>
          <w:sz w:val="22"/>
          <w:szCs w:val="22"/>
        </w:rPr>
      </w:pPr>
    </w:p>
    <w:p w14:paraId="0EDF8FF3" w14:textId="77777777" w:rsidR="003F2EEF" w:rsidRPr="00237AA8" w:rsidRDefault="006F1B16" w:rsidP="00327F9C">
      <w:pPr>
        <w:pStyle w:val="Nivel01"/>
        <w:numPr>
          <w:ilvl w:val="0"/>
          <w:numId w:val="1"/>
        </w:numPr>
        <w:spacing w:before="120" w:after="120" w:line="240" w:lineRule="exact"/>
        <w:rPr>
          <w:rFonts w:asciiTheme="majorHAnsi" w:hAnsiTheme="majorHAnsi" w:cstheme="majorHAnsi"/>
          <w:sz w:val="22"/>
          <w:szCs w:val="22"/>
        </w:rPr>
      </w:pPr>
      <w:r w:rsidRPr="00237AA8">
        <w:rPr>
          <w:rFonts w:asciiTheme="majorHAnsi" w:hAnsiTheme="majorHAnsi" w:cstheme="majorHAnsi"/>
          <w:color w:val="000000"/>
          <w:sz w:val="22"/>
          <w:szCs w:val="22"/>
        </w:rPr>
        <w:t>ADEQUAÇÃO ORÇAME</w:t>
      </w:r>
      <w:r w:rsidRPr="00237AA8">
        <w:rPr>
          <w:rFonts w:asciiTheme="majorHAnsi" w:hAnsiTheme="majorHAnsi" w:cstheme="majorHAnsi"/>
          <w:sz w:val="22"/>
          <w:szCs w:val="22"/>
        </w:rPr>
        <w:t>NTÁRIA</w:t>
      </w:r>
    </w:p>
    <w:p w14:paraId="31A21061" w14:textId="77777777" w:rsidR="003F2EEF" w:rsidRPr="00237AA8" w:rsidRDefault="006F1B16" w:rsidP="00B121A9">
      <w:pPr>
        <w:pStyle w:val="Nivel2"/>
        <w:numPr>
          <w:ilvl w:val="1"/>
          <w:numId w:val="1"/>
        </w:numPr>
        <w:spacing w:line="240" w:lineRule="exact"/>
        <w:ind w:left="0" w:firstLine="0"/>
        <w:rPr>
          <w:rFonts w:asciiTheme="majorHAnsi" w:hAnsiTheme="majorHAnsi" w:cstheme="majorHAnsi"/>
          <w:sz w:val="22"/>
          <w:szCs w:val="22"/>
        </w:rPr>
      </w:pPr>
      <w:r w:rsidRPr="00237AA8">
        <w:rPr>
          <w:rFonts w:asciiTheme="majorHAnsi" w:eastAsia="Arial" w:hAnsiTheme="majorHAnsi" w:cstheme="majorHAnsi"/>
          <w:sz w:val="22"/>
          <w:szCs w:val="22"/>
        </w:rPr>
        <w:t>As despesas decorrentes da presente contratação correrão à conta de recursos específicos consignados no Orçamento Geral da União.</w:t>
      </w:r>
    </w:p>
    <w:p w14:paraId="4198BB9F" w14:textId="1E04CCD2" w:rsidR="003F2EEF" w:rsidRPr="001C45D2" w:rsidRDefault="006F1B16" w:rsidP="00B121A9">
      <w:pPr>
        <w:pStyle w:val="Nvel2-Red"/>
        <w:numPr>
          <w:ilvl w:val="1"/>
          <w:numId w:val="1"/>
        </w:numPr>
        <w:spacing w:line="240" w:lineRule="exact"/>
        <w:ind w:left="0" w:firstLine="0"/>
        <w:rPr>
          <w:rFonts w:asciiTheme="majorHAnsi" w:hAnsiTheme="majorHAnsi" w:cstheme="majorHAnsi"/>
          <w:sz w:val="22"/>
          <w:szCs w:val="22"/>
        </w:rPr>
      </w:pPr>
      <w:bookmarkStart w:id="13" w:name="_Hlk82471863"/>
      <w:bookmarkEnd w:id="13"/>
      <w:r w:rsidRPr="00237AA8">
        <w:rPr>
          <w:rFonts w:asciiTheme="majorHAnsi" w:hAnsiTheme="majorHAnsi" w:cstheme="majorHAnsi"/>
          <w:color w:val="000000"/>
          <w:sz w:val="22"/>
          <w:szCs w:val="22"/>
        </w:rPr>
        <w:t>A dotação relativa aos exercícios financeiros subsequentes será indicada após aprovação da Lei Orçamentária respectiva e liberação dos créditos correspondentes, mediante apostilamento.</w:t>
      </w:r>
    </w:p>
    <w:p w14:paraId="39324704" w14:textId="77777777" w:rsidR="001C45D2" w:rsidRPr="00B121A9" w:rsidRDefault="001C45D2" w:rsidP="001C45D2">
      <w:pPr>
        <w:pStyle w:val="Nvel2-Red"/>
        <w:spacing w:line="240" w:lineRule="exact"/>
        <w:rPr>
          <w:rFonts w:asciiTheme="majorHAnsi" w:hAnsiTheme="majorHAnsi" w:cstheme="majorHAnsi"/>
          <w:sz w:val="22"/>
          <w:szCs w:val="22"/>
        </w:rPr>
      </w:pPr>
    </w:p>
    <w:p w14:paraId="1B62A8D1" w14:textId="226AA098" w:rsidR="003F2EEF" w:rsidRPr="00237AA8" w:rsidRDefault="00F361B6" w:rsidP="00327F9C">
      <w:pPr>
        <w:pStyle w:val="Nivel01"/>
        <w:numPr>
          <w:ilvl w:val="0"/>
          <w:numId w:val="1"/>
        </w:numPr>
        <w:spacing w:before="120" w:after="120" w:line="240" w:lineRule="exact"/>
        <w:rPr>
          <w:rFonts w:asciiTheme="majorHAnsi" w:hAnsiTheme="majorHAnsi" w:cstheme="majorHAnsi"/>
          <w:sz w:val="22"/>
          <w:szCs w:val="22"/>
        </w:rPr>
      </w:pPr>
      <w:r>
        <w:rPr>
          <w:rFonts w:asciiTheme="majorHAnsi" w:hAnsiTheme="majorHAnsi" w:cstheme="majorHAnsi"/>
          <w:sz w:val="22"/>
          <w:szCs w:val="22"/>
        </w:rPr>
        <w:t>ANEXOS</w:t>
      </w:r>
    </w:p>
    <w:p w14:paraId="32F31C8A" w14:textId="1B94E47D" w:rsidR="003F2EEF" w:rsidRDefault="00B121A9" w:rsidP="00856941">
      <w:pPr>
        <w:pStyle w:val="Nivel2"/>
        <w:numPr>
          <w:ilvl w:val="1"/>
          <w:numId w:val="1"/>
        </w:numPr>
        <w:spacing w:before="0" w:after="0" w:line="240" w:lineRule="exact"/>
        <w:ind w:left="0" w:firstLine="0"/>
        <w:rPr>
          <w:rFonts w:asciiTheme="majorHAnsi" w:hAnsiTheme="majorHAnsi" w:cstheme="majorHAnsi"/>
          <w:sz w:val="22"/>
          <w:szCs w:val="22"/>
        </w:rPr>
      </w:pPr>
      <w:r>
        <w:rPr>
          <w:rFonts w:asciiTheme="majorHAnsi" w:hAnsiTheme="majorHAnsi" w:cstheme="majorHAnsi"/>
          <w:sz w:val="22"/>
          <w:szCs w:val="22"/>
        </w:rPr>
        <w:t>Estudo Técnico Preliminar</w:t>
      </w:r>
      <w:r w:rsidR="00DE4A32">
        <w:rPr>
          <w:rFonts w:asciiTheme="majorHAnsi" w:hAnsiTheme="majorHAnsi" w:cstheme="majorHAnsi"/>
          <w:sz w:val="22"/>
          <w:szCs w:val="22"/>
        </w:rPr>
        <w:t>;</w:t>
      </w:r>
    </w:p>
    <w:p w14:paraId="11B14EA7" w14:textId="2B97CED7" w:rsidR="00F361B6" w:rsidRPr="00237AA8" w:rsidRDefault="00800747" w:rsidP="00800747">
      <w:pPr>
        <w:pStyle w:val="Nivel2"/>
        <w:numPr>
          <w:ilvl w:val="1"/>
          <w:numId w:val="1"/>
        </w:numPr>
        <w:spacing w:before="0" w:after="0" w:line="240" w:lineRule="exact"/>
        <w:ind w:left="426"/>
        <w:rPr>
          <w:rFonts w:asciiTheme="majorHAnsi" w:hAnsiTheme="majorHAnsi" w:cstheme="majorHAnsi"/>
          <w:sz w:val="22"/>
          <w:szCs w:val="22"/>
        </w:rPr>
      </w:pPr>
      <w:r w:rsidRPr="00800747">
        <w:rPr>
          <w:rFonts w:asciiTheme="majorHAnsi" w:hAnsiTheme="majorHAnsi" w:cstheme="majorHAnsi"/>
          <w:sz w:val="22"/>
          <w:szCs w:val="22"/>
        </w:rPr>
        <w:t>SINAPI_Preco_Ref_Insumos_AM_</w:t>
      </w:r>
      <w:bookmarkStart w:id="14" w:name="_GoBack"/>
      <w:bookmarkEnd w:id="14"/>
      <w:r w:rsidRPr="00800747">
        <w:rPr>
          <w:rFonts w:asciiTheme="majorHAnsi" w:hAnsiTheme="majorHAnsi" w:cstheme="majorHAnsi"/>
          <w:sz w:val="22"/>
          <w:szCs w:val="22"/>
        </w:rPr>
        <w:t>NaoDesonerado</w:t>
      </w:r>
      <w:r>
        <w:rPr>
          <w:rFonts w:asciiTheme="majorHAnsi" w:hAnsiTheme="majorHAnsi" w:cstheme="majorHAnsi"/>
          <w:sz w:val="22"/>
          <w:szCs w:val="22"/>
        </w:rPr>
        <w:t xml:space="preserve"> (</w:t>
      </w:r>
      <w:r w:rsidR="002B2102">
        <w:rPr>
          <w:rFonts w:asciiTheme="majorHAnsi" w:hAnsiTheme="majorHAnsi" w:cstheme="majorHAnsi"/>
          <w:sz w:val="22"/>
          <w:szCs w:val="22"/>
        </w:rPr>
        <w:t>o</w:t>
      </w:r>
      <w:r>
        <w:rPr>
          <w:rFonts w:asciiTheme="majorHAnsi" w:hAnsiTheme="majorHAnsi" w:cstheme="majorHAnsi"/>
          <w:sz w:val="22"/>
          <w:szCs w:val="22"/>
        </w:rPr>
        <w:t>bs: será considerada para a aplicação do desconto sempre a tabela mais atual</w:t>
      </w:r>
      <w:r w:rsidR="00DE4A32">
        <w:rPr>
          <w:rFonts w:asciiTheme="majorHAnsi" w:hAnsiTheme="majorHAnsi" w:cstheme="majorHAnsi"/>
          <w:sz w:val="22"/>
          <w:szCs w:val="22"/>
        </w:rPr>
        <w:t>/recente</w:t>
      </w:r>
      <w:r>
        <w:rPr>
          <w:rFonts w:asciiTheme="majorHAnsi" w:hAnsiTheme="majorHAnsi" w:cstheme="majorHAnsi"/>
          <w:sz w:val="22"/>
          <w:szCs w:val="22"/>
        </w:rPr>
        <w:t>)</w:t>
      </w:r>
      <w:r w:rsidR="00DE4A32">
        <w:rPr>
          <w:rFonts w:asciiTheme="majorHAnsi" w:hAnsiTheme="majorHAnsi" w:cstheme="majorHAnsi"/>
          <w:sz w:val="22"/>
          <w:szCs w:val="22"/>
        </w:rPr>
        <w:t>.</w:t>
      </w:r>
    </w:p>
    <w:p w14:paraId="6E251BEB" w14:textId="4C9550E1" w:rsidR="00B039C7" w:rsidRDefault="00B039C7" w:rsidP="00856941">
      <w:pPr>
        <w:pStyle w:val="western"/>
        <w:tabs>
          <w:tab w:val="left" w:pos="10501"/>
        </w:tabs>
        <w:spacing w:before="0" w:after="0" w:line="240" w:lineRule="exact"/>
        <w:ind w:left="720" w:right="533"/>
        <w:rPr>
          <w:rFonts w:asciiTheme="majorHAnsi" w:hAnsiTheme="majorHAnsi" w:cstheme="majorHAnsi"/>
          <w:iCs/>
          <w:sz w:val="22"/>
          <w:szCs w:val="22"/>
        </w:rPr>
      </w:pPr>
    </w:p>
    <w:p w14:paraId="174CA4F4" w14:textId="5E7B8DC6" w:rsidR="00A900F2" w:rsidRDefault="00A900F2" w:rsidP="00856941">
      <w:pPr>
        <w:pStyle w:val="western"/>
        <w:tabs>
          <w:tab w:val="left" w:pos="10501"/>
        </w:tabs>
        <w:spacing w:before="0" w:after="0" w:line="240" w:lineRule="exact"/>
        <w:ind w:left="720" w:right="533"/>
        <w:rPr>
          <w:rFonts w:asciiTheme="majorHAnsi" w:hAnsiTheme="majorHAnsi" w:cstheme="majorHAnsi"/>
          <w:iCs/>
          <w:sz w:val="22"/>
          <w:szCs w:val="22"/>
        </w:rPr>
      </w:pPr>
    </w:p>
    <w:p w14:paraId="119694A0" w14:textId="77777777" w:rsidR="00A900F2" w:rsidRPr="00237AA8" w:rsidRDefault="00A900F2" w:rsidP="00856941">
      <w:pPr>
        <w:pStyle w:val="western"/>
        <w:tabs>
          <w:tab w:val="left" w:pos="10501"/>
        </w:tabs>
        <w:spacing w:before="0" w:after="0" w:line="240" w:lineRule="exact"/>
        <w:ind w:left="720" w:right="533"/>
        <w:rPr>
          <w:rFonts w:asciiTheme="majorHAnsi" w:hAnsiTheme="majorHAnsi" w:cstheme="majorHAnsi"/>
          <w:iCs/>
          <w:sz w:val="22"/>
          <w:szCs w:val="22"/>
        </w:rPr>
      </w:pPr>
    </w:p>
    <w:p w14:paraId="67516D5C" w14:textId="3A39CAF6" w:rsidR="003F2EEF" w:rsidRPr="00237AA8" w:rsidRDefault="00B039C7" w:rsidP="00856941">
      <w:pPr>
        <w:spacing w:line="240" w:lineRule="exact"/>
        <w:jc w:val="center"/>
        <w:rPr>
          <w:rFonts w:asciiTheme="majorHAnsi" w:hAnsiTheme="majorHAnsi" w:cstheme="majorHAnsi"/>
          <w:color w:val="000000"/>
          <w:sz w:val="22"/>
          <w:szCs w:val="22"/>
        </w:rPr>
      </w:pPr>
      <w:bookmarkStart w:id="15" w:name="__DdeLink__814_1555561332"/>
      <w:r>
        <w:rPr>
          <w:rFonts w:asciiTheme="majorHAnsi" w:hAnsiTheme="majorHAnsi" w:cstheme="majorHAnsi"/>
          <w:color w:val="000000"/>
          <w:sz w:val="22"/>
          <w:szCs w:val="22"/>
        </w:rPr>
        <w:lastRenderedPageBreak/>
        <w:t xml:space="preserve">São Gabriel da Cachoeira, AM, </w:t>
      </w:r>
      <w:r w:rsidR="00FF060E">
        <w:rPr>
          <w:rFonts w:asciiTheme="majorHAnsi" w:hAnsiTheme="majorHAnsi" w:cstheme="majorHAnsi"/>
          <w:color w:val="000000"/>
          <w:sz w:val="22"/>
          <w:szCs w:val="22"/>
        </w:rPr>
        <w:t>25</w:t>
      </w:r>
      <w:r w:rsidR="006F1B16" w:rsidRPr="00237AA8">
        <w:rPr>
          <w:rFonts w:asciiTheme="majorHAnsi" w:hAnsiTheme="majorHAnsi" w:cstheme="majorHAnsi"/>
          <w:color w:val="000000"/>
          <w:sz w:val="22"/>
          <w:szCs w:val="22"/>
        </w:rPr>
        <w:t xml:space="preserve"> de </w:t>
      </w:r>
      <w:r w:rsidR="00FF060E">
        <w:rPr>
          <w:rFonts w:asciiTheme="majorHAnsi" w:hAnsiTheme="majorHAnsi" w:cstheme="majorHAnsi"/>
          <w:color w:val="000000"/>
          <w:sz w:val="22"/>
          <w:szCs w:val="22"/>
        </w:rPr>
        <w:t>novembro</w:t>
      </w:r>
      <w:r w:rsidR="006F1B16" w:rsidRPr="00237AA8">
        <w:rPr>
          <w:rFonts w:asciiTheme="majorHAnsi" w:hAnsiTheme="majorHAnsi" w:cstheme="majorHAnsi"/>
          <w:color w:val="000000"/>
          <w:sz w:val="22"/>
          <w:szCs w:val="22"/>
        </w:rPr>
        <w:t xml:space="preserve"> de 2024</w:t>
      </w:r>
      <w:bookmarkEnd w:id="15"/>
      <w:r w:rsidR="006F1B16" w:rsidRPr="00237AA8">
        <w:rPr>
          <w:rFonts w:asciiTheme="majorHAnsi" w:hAnsiTheme="majorHAnsi" w:cstheme="majorHAnsi"/>
          <w:color w:val="000000"/>
          <w:sz w:val="22"/>
          <w:szCs w:val="22"/>
        </w:rPr>
        <w:t>.</w:t>
      </w:r>
    </w:p>
    <w:p w14:paraId="39DD6014" w14:textId="43C582EE" w:rsidR="003F2EEF" w:rsidRDefault="003F2EEF" w:rsidP="00856941">
      <w:pPr>
        <w:spacing w:line="240" w:lineRule="exact"/>
        <w:rPr>
          <w:rFonts w:asciiTheme="majorHAnsi" w:hAnsiTheme="majorHAnsi" w:cstheme="majorHAnsi"/>
          <w:b/>
          <w:color w:val="000000"/>
          <w:sz w:val="22"/>
          <w:szCs w:val="22"/>
        </w:rPr>
      </w:pPr>
    </w:p>
    <w:p w14:paraId="0B3CCC51" w14:textId="72C037CE" w:rsidR="00B039C7" w:rsidRDefault="00B039C7" w:rsidP="00856941">
      <w:pPr>
        <w:spacing w:line="240" w:lineRule="exact"/>
        <w:rPr>
          <w:rFonts w:asciiTheme="majorHAnsi" w:hAnsiTheme="majorHAnsi" w:cstheme="majorHAnsi"/>
          <w:b/>
          <w:color w:val="000000"/>
          <w:sz w:val="22"/>
          <w:szCs w:val="22"/>
        </w:rPr>
      </w:pPr>
    </w:p>
    <w:p w14:paraId="5329DBFC" w14:textId="77777777" w:rsidR="00856941" w:rsidRPr="00237AA8" w:rsidRDefault="00856941" w:rsidP="00856941">
      <w:pPr>
        <w:spacing w:line="240" w:lineRule="exact"/>
        <w:rPr>
          <w:rFonts w:asciiTheme="majorHAnsi" w:hAnsiTheme="majorHAnsi" w:cstheme="majorHAnsi"/>
          <w:b/>
          <w:color w:val="000000"/>
          <w:sz w:val="22"/>
          <w:szCs w:val="22"/>
        </w:rPr>
      </w:pPr>
    </w:p>
    <w:p w14:paraId="782D7894" w14:textId="38D803DD" w:rsidR="001C45D2" w:rsidRPr="001C45D2" w:rsidRDefault="00FF060E" w:rsidP="001C45D2">
      <w:pPr>
        <w:jc w:val="center"/>
        <w:rPr>
          <w:rFonts w:ascii="Calibri" w:hAnsi="Calibri" w:cs="Calibri"/>
          <w:b/>
          <w:bCs/>
          <w:color w:val="auto"/>
          <w:sz w:val="22"/>
          <w:szCs w:val="22"/>
        </w:rPr>
      </w:pPr>
      <w:r>
        <w:rPr>
          <w:rFonts w:ascii="Calibri" w:hAnsi="Calibri" w:cs="Calibri"/>
          <w:b/>
          <w:bCs/>
          <w:color w:val="auto"/>
          <w:sz w:val="22"/>
          <w:szCs w:val="22"/>
        </w:rPr>
        <w:t>PEDRO AUGUSTO DE OLIVEIRA MARQUES</w:t>
      </w:r>
      <w:r w:rsidR="001C45D2" w:rsidRPr="001C45D2">
        <w:rPr>
          <w:rFonts w:ascii="Calibri" w:hAnsi="Calibri" w:cs="Calibri"/>
          <w:b/>
          <w:bCs/>
          <w:color w:val="auto"/>
          <w:sz w:val="22"/>
          <w:szCs w:val="22"/>
        </w:rPr>
        <w:t xml:space="preserve"> – 2° Ten</w:t>
      </w:r>
    </w:p>
    <w:p w14:paraId="467D0C37" w14:textId="77777777" w:rsidR="003F2EEF" w:rsidRPr="00237AA8" w:rsidRDefault="006F1B16" w:rsidP="00856941">
      <w:pPr>
        <w:spacing w:line="240" w:lineRule="exact"/>
        <w:jc w:val="center"/>
        <w:rPr>
          <w:rFonts w:asciiTheme="majorHAnsi" w:hAnsiTheme="majorHAnsi" w:cstheme="majorHAnsi"/>
          <w:color w:val="FF0000"/>
          <w:sz w:val="22"/>
          <w:szCs w:val="22"/>
        </w:rPr>
      </w:pPr>
      <w:r w:rsidRPr="00237AA8">
        <w:rPr>
          <w:rFonts w:asciiTheme="majorHAnsi" w:hAnsiTheme="majorHAnsi" w:cstheme="majorHAnsi"/>
          <w:color w:val="000000"/>
          <w:sz w:val="22"/>
          <w:szCs w:val="22"/>
        </w:rPr>
        <w:t>Chefe da Seção Técnica da 21ª Cia E Cnst</w:t>
      </w:r>
    </w:p>
    <w:p w14:paraId="336678A6" w14:textId="4435CA6D" w:rsidR="003F2EEF" w:rsidRDefault="003F2EEF" w:rsidP="00EF5184">
      <w:pPr>
        <w:spacing w:before="120" w:after="120" w:line="240" w:lineRule="exact"/>
        <w:rPr>
          <w:rFonts w:asciiTheme="majorHAnsi" w:hAnsiTheme="majorHAnsi" w:cstheme="majorHAnsi"/>
          <w:b/>
          <w:sz w:val="22"/>
          <w:szCs w:val="22"/>
        </w:rPr>
      </w:pPr>
    </w:p>
    <w:p w14:paraId="5EA38CCA" w14:textId="77777777" w:rsidR="00B039C7" w:rsidRPr="00237AA8" w:rsidRDefault="00B039C7" w:rsidP="00EF5184">
      <w:pPr>
        <w:spacing w:before="120" w:after="120" w:line="240" w:lineRule="exact"/>
        <w:rPr>
          <w:rFonts w:asciiTheme="majorHAnsi" w:hAnsiTheme="majorHAnsi" w:cstheme="majorHAnsi"/>
          <w:b/>
          <w:sz w:val="22"/>
          <w:szCs w:val="22"/>
        </w:rPr>
      </w:pPr>
    </w:p>
    <w:p w14:paraId="6E8A14CA" w14:textId="77777777" w:rsidR="003F2EEF" w:rsidRPr="00237AA8" w:rsidRDefault="006F1B16" w:rsidP="00856941">
      <w:pPr>
        <w:spacing w:line="240" w:lineRule="exact"/>
        <w:rPr>
          <w:rFonts w:asciiTheme="majorHAnsi" w:hAnsiTheme="majorHAnsi" w:cstheme="majorHAnsi"/>
          <w:b/>
          <w:sz w:val="22"/>
          <w:szCs w:val="22"/>
        </w:rPr>
      </w:pPr>
      <w:r w:rsidRPr="00237AA8">
        <w:rPr>
          <w:rFonts w:asciiTheme="majorHAnsi" w:hAnsiTheme="majorHAnsi" w:cstheme="majorHAnsi"/>
          <w:b/>
          <w:sz w:val="22"/>
          <w:szCs w:val="22"/>
        </w:rPr>
        <w:t>DESPACHO DO FISCAL ADMINISTRATIVO:</w:t>
      </w:r>
    </w:p>
    <w:p w14:paraId="0AD18D7D" w14:textId="5EBAF7A0" w:rsidR="003F2EEF" w:rsidRPr="00B7750C" w:rsidRDefault="006F1B16" w:rsidP="00B7750C">
      <w:pPr>
        <w:pStyle w:val="PargrafodaLista"/>
        <w:numPr>
          <w:ilvl w:val="0"/>
          <w:numId w:val="6"/>
        </w:numPr>
        <w:tabs>
          <w:tab w:val="clear" w:pos="720"/>
          <w:tab w:val="left" w:pos="709"/>
        </w:tabs>
        <w:spacing w:line="240" w:lineRule="exact"/>
        <w:ind w:right="-143"/>
        <w:rPr>
          <w:rFonts w:asciiTheme="majorHAnsi" w:hAnsiTheme="majorHAnsi" w:cstheme="majorHAnsi"/>
          <w:sz w:val="22"/>
          <w:szCs w:val="22"/>
        </w:rPr>
      </w:pPr>
      <w:r w:rsidRPr="00B7750C">
        <w:rPr>
          <w:rFonts w:asciiTheme="majorHAnsi" w:hAnsiTheme="majorHAnsi" w:cstheme="majorHAnsi"/>
          <w:color w:val="000000" w:themeColor="text1"/>
          <w:sz w:val="22"/>
          <w:szCs w:val="22"/>
        </w:rPr>
        <w:t xml:space="preserve">Aprovo </w:t>
      </w:r>
      <w:r w:rsidRPr="00B7750C">
        <w:rPr>
          <w:rFonts w:asciiTheme="majorHAnsi" w:hAnsiTheme="majorHAnsi" w:cstheme="majorHAnsi"/>
          <w:sz w:val="22"/>
          <w:szCs w:val="22"/>
        </w:rPr>
        <w:t>o presente Termo de Referência.</w:t>
      </w:r>
    </w:p>
    <w:p w14:paraId="242DBB98" w14:textId="77777777" w:rsidR="003F2EEF" w:rsidRPr="00237AA8" w:rsidRDefault="003F2EEF" w:rsidP="00856941">
      <w:pPr>
        <w:spacing w:line="240" w:lineRule="exact"/>
        <w:ind w:left="1800" w:right="-143"/>
        <w:rPr>
          <w:rFonts w:asciiTheme="majorHAnsi" w:hAnsiTheme="majorHAnsi" w:cstheme="majorHAnsi"/>
          <w:sz w:val="22"/>
          <w:szCs w:val="22"/>
        </w:rPr>
      </w:pPr>
    </w:p>
    <w:p w14:paraId="09827F21" w14:textId="77777777" w:rsidR="003F2EEF" w:rsidRPr="00237AA8" w:rsidRDefault="006F1B16" w:rsidP="00856941">
      <w:pPr>
        <w:numPr>
          <w:ilvl w:val="0"/>
          <w:numId w:val="6"/>
        </w:numPr>
        <w:suppressAutoHyphens/>
        <w:spacing w:line="240" w:lineRule="exact"/>
        <w:ind w:right="-143"/>
        <w:jc w:val="both"/>
        <w:rPr>
          <w:rFonts w:asciiTheme="majorHAnsi" w:hAnsiTheme="majorHAnsi" w:cstheme="majorHAnsi"/>
          <w:sz w:val="22"/>
          <w:szCs w:val="22"/>
        </w:rPr>
      </w:pPr>
      <w:r w:rsidRPr="00237AA8">
        <w:rPr>
          <w:rFonts w:asciiTheme="majorHAnsi" w:hAnsiTheme="majorHAnsi" w:cstheme="majorHAnsi"/>
          <w:sz w:val="22"/>
          <w:szCs w:val="22"/>
        </w:rPr>
        <w:t>Encaminhe-se para o Ordenador de Despesas para aprovação e ordenação do início dos trâmites licitatórios.</w:t>
      </w:r>
    </w:p>
    <w:p w14:paraId="33E448B9" w14:textId="063F83FC" w:rsidR="007D1C3A" w:rsidRDefault="007D1C3A" w:rsidP="00856941">
      <w:pPr>
        <w:pStyle w:val="PargrafodaLista"/>
        <w:spacing w:line="240" w:lineRule="exact"/>
        <w:ind w:left="0"/>
        <w:jc w:val="center"/>
        <w:rPr>
          <w:rFonts w:asciiTheme="majorHAnsi" w:hAnsiTheme="majorHAnsi" w:cstheme="majorHAnsi"/>
          <w:color w:val="000000"/>
          <w:sz w:val="22"/>
          <w:szCs w:val="22"/>
        </w:rPr>
      </w:pPr>
    </w:p>
    <w:p w14:paraId="4DB6FC57" w14:textId="77777777" w:rsidR="00856941" w:rsidRDefault="00856941" w:rsidP="00856941">
      <w:pPr>
        <w:pStyle w:val="PargrafodaLista"/>
        <w:spacing w:line="240" w:lineRule="exact"/>
        <w:ind w:left="0"/>
        <w:jc w:val="center"/>
        <w:rPr>
          <w:rFonts w:asciiTheme="majorHAnsi" w:hAnsiTheme="majorHAnsi" w:cstheme="majorHAnsi"/>
          <w:color w:val="000000"/>
          <w:sz w:val="22"/>
          <w:szCs w:val="22"/>
        </w:rPr>
      </w:pPr>
    </w:p>
    <w:p w14:paraId="5DDEE142" w14:textId="77777777" w:rsidR="00FF060E" w:rsidRPr="00237AA8" w:rsidRDefault="00FF060E" w:rsidP="00FF060E">
      <w:pPr>
        <w:spacing w:line="240" w:lineRule="exact"/>
        <w:jc w:val="center"/>
        <w:rPr>
          <w:rFonts w:asciiTheme="majorHAnsi" w:hAnsiTheme="majorHAnsi" w:cstheme="majorHAnsi"/>
          <w:color w:val="000000"/>
          <w:sz w:val="22"/>
          <w:szCs w:val="22"/>
        </w:rPr>
      </w:pPr>
      <w:r>
        <w:rPr>
          <w:rFonts w:asciiTheme="majorHAnsi" w:hAnsiTheme="majorHAnsi" w:cstheme="majorHAnsi"/>
          <w:color w:val="000000"/>
          <w:sz w:val="22"/>
          <w:szCs w:val="22"/>
        </w:rPr>
        <w:t>São Gabriel da Cachoeira, AM, 25</w:t>
      </w:r>
      <w:r w:rsidRPr="00237AA8">
        <w:rPr>
          <w:rFonts w:asciiTheme="majorHAnsi" w:hAnsiTheme="majorHAnsi" w:cstheme="majorHAnsi"/>
          <w:color w:val="000000"/>
          <w:sz w:val="22"/>
          <w:szCs w:val="22"/>
        </w:rPr>
        <w:t xml:space="preserve"> de </w:t>
      </w:r>
      <w:r>
        <w:rPr>
          <w:rFonts w:asciiTheme="majorHAnsi" w:hAnsiTheme="majorHAnsi" w:cstheme="majorHAnsi"/>
          <w:color w:val="000000"/>
          <w:sz w:val="22"/>
          <w:szCs w:val="22"/>
        </w:rPr>
        <w:t>novembro</w:t>
      </w:r>
      <w:r w:rsidRPr="00237AA8">
        <w:rPr>
          <w:rFonts w:asciiTheme="majorHAnsi" w:hAnsiTheme="majorHAnsi" w:cstheme="majorHAnsi"/>
          <w:color w:val="000000"/>
          <w:sz w:val="22"/>
          <w:szCs w:val="22"/>
        </w:rPr>
        <w:t xml:space="preserve"> de 2024.</w:t>
      </w:r>
    </w:p>
    <w:p w14:paraId="0D43F625" w14:textId="790317F1" w:rsidR="003F2EEF" w:rsidRDefault="003F2EEF" w:rsidP="00856941">
      <w:pPr>
        <w:spacing w:line="240" w:lineRule="exact"/>
        <w:ind w:right="-143"/>
        <w:rPr>
          <w:rFonts w:asciiTheme="majorHAnsi" w:hAnsiTheme="majorHAnsi" w:cstheme="majorHAnsi"/>
          <w:color w:val="000000"/>
          <w:sz w:val="22"/>
          <w:szCs w:val="22"/>
        </w:rPr>
      </w:pPr>
    </w:p>
    <w:p w14:paraId="06BA6799" w14:textId="747C3669" w:rsidR="007D1C3A" w:rsidRDefault="007D1C3A" w:rsidP="00856941">
      <w:pPr>
        <w:spacing w:line="240" w:lineRule="exact"/>
        <w:ind w:right="-143"/>
        <w:rPr>
          <w:rFonts w:asciiTheme="majorHAnsi" w:hAnsiTheme="majorHAnsi" w:cstheme="majorHAnsi"/>
          <w:color w:val="000000"/>
          <w:sz w:val="22"/>
          <w:szCs w:val="22"/>
        </w:rPr>
      </w:pPr>
    </w:p>
    <w:p w14:paraId="5C405AF2" w14:textId="77777777" w:rsidR="000A1352" w:rsidRPr="00237AA8" w:rsidRDefault="000A1352" w:rsidP="00856941">
      <w:pPr>
        <w:spacing w:line="240" w:lineRule="exact"/>
        <w:ind w:right="-143"/>
        <w:rPr>
          <w:rFonts w:asciiTheme="majorHAnsi" w:hAnsiTheme="majorHAnsi" w:cstheme="majorHAnsi"/>
          <w:color w:val="000000"/>
          <w:sz w:val="22"/>
          <w:szCs w:val="22"/>
        </w:rPr>
      </w:pPr>
    </w:p>
    <w:p w14:paraId="0346B26D" w14:textId="77777777" w:rsidR="003F2EEF" w:rsidRPr="00237AA8" w:rsidRDefault="006F1B16" w:rsidP="000A1352">
      <w:pPr>
        <w:spacing w:line="240" w:lineRule="exact"/>
        <w:ind w:right="-143"/>
        <w:jc w:val="center"/>
        <w:rPr>
          <w:rFonts w:asciiTheme="majorHAnsi" w:hAnsiTheme="majorHAnsi" w:cstheme="majorHAnsi"/>
          <w:color w:val="000000"/>
          <w:sz w:val="22"/>
          <w:szCs w:val="22"/>
        </w:rPr>
      </w:pPr>
      <w:r w:rsidRPr="00237AA8">
        <w:rPr>
          <w:rFonts w:asciiTheme="majorHAnsi" w:hAnsiTheme="majorHAnsi" w:cstheme="majorHAnsi"/>
          <w:b/>
          <w:color w:val="000000"/>
          <w:sz w:val="22"/>
          <w:szCs w:val="22"/>
        </w:rPr>
        <w:t>BRUNO BRAGA DA SILVA SOUSA – Maj</w:t>
      </w:r>
    </w:p>
    <w:p w14:paraId="4A37AFED" w14:textId="77777777" w:rsidR="003F2EEF" w:rsidRPr="00237AA8" w:rsidRDefault="006F1B16" w:rsidP="000A1352">
      <w:pPr>
        <w:spacing w:line="240" w:lineRule="exact"/>
        <w:jc w:val="center"/>
        <w:rPr>
          <w:rFonts w:asciiTheme="majorHAnsi" w:hAnsiTheme="majorHAnsi" w:cstheme="majorHAnsi"/>
          <w:b/>
          <w:bCs/>
          <w:sz w:val="22"/>
          <w:szCs w:val="22"/>
        </w:rPr>
      </w:pPr>
      <w:r w:rsidRPr="00237AA8">
        <w:rPr>
          <w:rFonts w:asciiTheme="majorHAnsi" w:hAnsiTheme="majorHAnsi" w:cstheme="majorHAnsi"/>
          <w:color w:val="000000"/>
          <w:sz w:val="22"/>
          <w:szCs w:val="22"/>
        </w:rPr>
        <w:t>Fiscal Administrativo da 21ª Cia E Cnst</w:t>
      </w:r>
    </w:p>
    <w:p w14:paraId="42C0E2C1" w14:textId="2839F840" w:rsidR="003F2EEF" w:rsidRDefault="003F2EEF" w:rsidP="001B3853">
      <w:pPr>
        <w:spacing w:before="120" w:after="120"/>
        <w:jc w:val="center"/>
        <w:rPr>
          <w:rFonts w:asciiTheme="majorHAnsi" w:hAnsiTheme="majorHAnsi" w:cstheme="majorHAnsi"/>
          <w:b/>
          <w:sz w:val="22"/>
          <w:szCs w:val="22"/>
        </w:rPr>
      </w:pPr>
    </w:p>
    <w:p w14:paraId="52F575D5" w14:textId="77777777" w:rsidR="00B7750C" w:rsidRPr="00237AA8" w:rsidRDefault="00B7750C" w:rsidP="001B3853">
      <w:pPr>
        <w:spacing w:before="120" w:after="120"/>
        <w:jc w:val="center"/>
        <w:rPr>
          <w:rFonts w:asciiTheme="majorHAnsi" w:hAnsiTheme="majorHAnsi" w:cstheme="majorHAnsi"/>
          <w:b/>
          <w:sz w:val="22"/>
          <w:szCs w:val="22"/>
        </w:rPr>
      </w:pPr>
    </w:p>
    <w:p w14:paraId="7CC7CD24" w14:textId="77777777" w:rsidR="003F2EEF" w:rsidRPr="00237AA8" w:rsidRDefault="006F1B16" w:rsidP="001B3853">
      <w:pPr>
        <w:spacing w:before="120" w:after="120"/>
        <w:rPr>
          <w:rFonts w:asciiTheme="majorHAnsi" w:hAnsiTheme="majorHAnsi" w:cstheme="majorHAnsi"/>
          <w:b/>
          <w:sz w:val="22"/>
          <w:szCs w:val="22"/>
        </w:rPr>
      </w:pPr>
      <w:r w:rsidRPr="00237AA8">
        <w:rPr>
          <w:rFonts w:asciiTheme="majorHAnsi" w:hAnsiTheme="majorHAnsi" w:cstheme="majorHAnsi"/>
          <w:b/>
          <w:sz w:val="22"/>
          <w:szCs w:val="22"/>
        </w:rPr>
        <w:t>DESPACHO DO ORDENADOR DE DESPESAS:</w:t>
      </w:r>
    </w:p>
    <w:p w14:paraId="1B1CB4F9" w14:textId="09BEB2C4" w:rsidR="003F2EEF" w:rsidRPr="00237AA8" w:rsidRDefault="006F1B16" w:rsidP="001B3853">
      <w:pPr>
        <w:pStyle w:val="Standard"/>
        <w:spacing w:before="120" w:after="120"/>
        <w:ind w:right="-81"/>
        <w:jc w:val="both"/>
        <w:rPr>
          <w:rFonts w:asciiTheme="majorHAnsi" w:hAnsiTheme="majorHAnsi" w:cstheme="majorHAnsi"/>
          <w:sz w:val="22"/>
          <w:szCs w:val="22"/>
        </w:rPr>
      </w:pPr>
      <w:r w:rsidRPr="00237AA8">
        <w:rPr>
          <w:rFonts w:asciiTheme="majorHAnsi" w:hAnsiTheme="majorHAnsi" w:cstheme="majorHAnsi"/>
          <w:sz w:val="22"/>
          <w:szCs w:val="22"/>
        </w:rPr>
        <w:tab/>
      </w:r>
      <w:r w:rsidR="007D1C3A">
        <w:rPr>
          <w:rFonts w:asciiTheme="majorHAnsi" w:hAnsiTheme="majorHAnsi" w:cstheme="majorHAnsi"/>
          <w:sz w:val="22"/>
          <w:szCs w:val="22"/>
        </w:rPr>
        <w:t>Aprovo o presente Termo de Referência e d</w:t>
      </w:r>
      <w:r w:rsidRPr="00237AA8">
        <w:rPr>
          <w:rFonts w:asciiTheme="majorHAnsi" w:hAnsiTheme="majorHAnsi" w:cstheme="majorHAnsi"/>
          <w:sz w:val="22"/>
          <w:szCs w:val="22"/>
        </w:rPr>
        <w:t>etermino que a Seção de Aquisições, Licitações e Contratos (SALC), adote todas as providências cabíveis, de acordo com as normas em vigor.</w:t>
      </w:r>
    </w:p>
    <w:p w14:paraId="37577858" w14:textId="77777777" w:rsidR="003F2EEF" w:rsidRPr="00237AA8" w:rsidRDefault="003F2EEF" w:rsidP="001B3853">
      <w:pPr>
        <w:pStyle w:val="Standard"/>
        <w:spacing w:before="120" w:after="120"/>
        <w:ind w:right="-81"/>
        <w:jc w:val="both"/>
        <w:rPr>
          <w:rFonts w:asciiTheme="majorHAnsi" w:hAnsiTheme="majorHAnsi" w:cstheme="majorHAnsi"/>
          <w:sz w:val="22"/>
          <w:szCs w:val="22"/>
        </w:rPr>
      </w:pPr>
    </w:p>
    <w:p w14:paraId="100E6284" w14:textId="30F8C5DD" w:rsidR="007D1C3A" w:rsidRPr="007D1C3A" w:rsidRDefault="007D1C3A" w:rsidP="000A1352">
      <w:pPr>
        <w:pStyle w:val="PargrafodaLista"/>
        <w:spacing w:line="240" w:lineRule="exact"/>
        <w:ind w:left="0"/>
        <w:jc w:val="center"/>
        <w:rPr>
          <w:rFonts w:asciiTheme="majorHAnsi" w:hAnsiTheme="majorHAnsi" w:cstheme="majorHAnsi"/>
          <w:color w:val="000000"/>
          <w:sz w:val="22"/>
          <w:szCs w:val="22"/>
        </w:rPr>
      </w:pPr>
      <w:r w:rsidRPr="007D1C3A">
        <w:rPr>
          <w:rFonts w:asciiTheme="majorHAnsi" w:hAnsiTheme="majorHAnsi" w:cstheme="majorHAnsi"/>
          <w:color w:val="000000"/>
          <w:sz w:val="22"/>
          <w:szCs w:val="22"/>
        </w:rPr>
        <w:t xml:space="preserve">São Gabriel da Cachoeira, AM, </w:t>
      </w:r>
      <w:r w:rsidR="00EE34D5">
        <w:rPr>
          <w:rFonts w:asciiTheme="majorHAnsi" w:hAnsiTheme="majorHAnsi" w:cstheme="majorHAnsi"/>
          <w:color w:val="000000"/>
          <w:sz w:val="22"/>
          <w:szCs w:val="22"/>
        </w:rPr>
        <w:t>02</w:t>
      </w:r>
      <w:r w:rsidR="00EE34D5" w:rsidRPr="00237AA8">
        <w:rPr>
          <w:rFonts w:asciiTheme="majorHAnsi" w:hAnsiTheme="majorHAnsi" w:cstheme="majorHAnsi"/>
          <w:color w:val="000000"/>
          <w:sz w:val="22"/>
          <w:szCs w:val="22"/>
        </w:rPr>
        <w:t xml:space="preserve"> de </w:t>
      </w:r>
      <w:r w:rsidR="00EE34D5">
        <w:rPr>
          <w:rFonts w:asciiTheme="majorHAnsi" w:hAnsiTheme="majorHAnsi" w:cstheme="majorHAnsi"/>
          <w:color w:val="000000"/>
          <w:sz w:val="22"/>
          <w:szCs w:val="22"/>
        </w:rPr>
        <w:t>outubro</w:t>
      </w:r>
      <w:r w:rsidR="00EE34D5" w:rsidRPr="00237AA8">
        <w:rPr>
          <w:rFonts w:asciiTheme="majorHAnsi" w:hAnsiTheme="majorHAnsi" w:cstheme="majorHAnsi"/>
          <w:color w:val="000000"/>
          <w:sz w:val="22"/>
          <w:szCs w:val="22"/>
        </w:rPr>
        <w:t xml:space="preserve"> de 2024</w:t>
      </w:r>
      <w:r w:rsidRPr="007D1C3A">
        <w:rPr>
          <w:rFonts w:asciiTheme="majorHAnsi" w:hAnsiTheme="majorHAnsi" w:cstheme="majorHAnsi"/>
          <w:color w:val="000000"/>
          <w:sz w:val="22"/>
          <w:szCs w:val="22"/>
        </w:rPr>
        <w:t>.</w:t>
      </w:r>
    </w:p>
    <w:p w14:paraId="02798FA2" w14:textId="753BBEA9" w:rsidR="003F2EEF" w:rsidRPr="00237AA8" w:rsidRDefault="003F2EEF" w:rsidP="000A1352">
      <w:pPr>
        <w:pStyle w:val="Standard"/>
        <w:tabs>
          <w:tab w:val="left" w:pos="709"/>
          <w:tab w:val="center" w:pos="4506"/>
        </w:tabs>
        <w:spacing w:line="240" w:lineRule="exact"/>
        <w:ind w:right="-81"/>
        <w:jc w:val="center"/>
        <w:rPr>
          <w:rFonts w:asciiTheme="majorHAnsi" w:hAnsiTheme="majorHAnsi" w:cstheme="majorHAnsi"/>
          <w:color w:val="000000"/>
          <w:sz w:val="22"/>
          <w:szCs w:val="22"/>
        </w:rPr>
      </w:pPr>
    </w:p>
    <w:p w14:paraId="1A6EB7BE" w14:textId="0875936D" w:rsidR="000A1352" w:rsidRDefault="000A1352" w:rsidP="000A1352">
      <w:pPr>
        <w:spacing w:line="240" w:lineRule="exact"/>
        <w:jc w:val="center"/>
        <w:rPr>
          <w:rFonts w:asciiTheme="majorHAnsi" w:hAnsiTheme="majorHAnsi" w:cstheme="majorHAnsi"/>
          <w:sz w:val="22"/>
          <w:szCs w:val="22"/>
        </w:rPr>
      </w:pPr>
    </w:p>
    <w:p w14:paraId="21A57F10" w14:textId="77777777" w:rsidR="00B7750C" w:rsidRPr="00237AA8" w:rsidRDefault="00B7750C" w:rsidP="000A1352">
      <w:pPr>
        <w:spacing w:line="240" w:lineRule="exact"/>
        <w:jc w:val="center"/>
        <w:rPr>
          <w:rFonts w:asciiTheme="majorHAnsi" w:hAnsiTheme="majorHAnsi" w:cstheme="majorHAnsi"/>
          <w:sz w:val="22"/>
          <w:szCs w:val="22"/>
        </w:rPr>
      </w:pPr>
    </w:p>
    <w:p w14:paraId="69B67BBD" w14:textId="20C890B4" w:rsidR="003F2EEF" w:rsidRPr="00237AA8" w:rsidRDefault="00FF060E" w:rsidP="000A1352">
      <w:pPr>
        <w:pStyle w:val="Standard"/>
        <w:spacing w:line="240" w:lineRule="exact"/>
        <w:ind w:right="-143"/>
        <w:jc w:val="center"/>
        <w:rPr>
          <w:rFonts w:asciiTheme="majorHAnsi" w:hAnsiTheme="majorHAnsi" w:cstheme="majorHAnsi"/>
          <w:b/>
          <w:bCs/>
          <w:color w:val="000000"/>
          <w:sz w:val="22"/>
          <w:szCs w:val="22"/>
        </w:rPr>
      </w:pPr>
      <w:r>
        <w:rPr>
          <w:rFonts w:asciiTheme="majorHAnsi" w:hAnsiTheme="majorHAnsi" w:cstheme="majorHAnsi"/>
          <w:b/>
          <w:bCs/>
          <w:color w:val="000000"/>
          <w:sz w:val="22"/>
          <w:szCs w:val="22"/>
        </w:rPr>
        <w:t>JOSINALDO LOPES DE MENESES – Cel</w:t>
      </w:r>
    </w:p>
    <w:p w14:paraId="19BA29BA" w14:textId="628088B6" w:rsidR="003F2EEF" w:rsidRPr="00237AA8" w:rsidRDefault="006F1B16" w:rsidP="00A7704C">
      <w:pPr>
        <w:tabs>
          <w:tab w:val="left" w:pos="0"/>
        </w:tabs>
        <w:spacing w:line="240" w:lineRule="exact"/>
        <w:ind w:right="-143"/>
        <w:jc w:val="center"/>
        <w:rPr>
          <w:rFonts w:asciiTheme="majorHAnsi" w:hAnsiTheme="majorHAnsi" w:cstheme="majorHAnsi"/>
          <w:sz w:val="22"/>
          <w:szCs w:val="22"/>
        </w:rPr>
      </w:pPr>
      <w:r w:rsidRPr="00237AA8">
        <w:rPr>
          <w:rFonts w:asciiTheme="majorHAnsi" w:eastAsia="DejaVu Sans" w:hAnsiTheme="majorHAnsi" w:cstheme="majorHAnsi"/>
          <w:bCs/>
          <w:color w:val="000000"/>
          <w:sz w:val="22"/>
          <w:szCs w:val="22"/>
          <w:lang w:eastAsia="hi-IN" w:bidi="hi-IN"/>
        </w:rPr>
        <w:t>Ordenador de Despesas 21ª Cia E Cnst</w:t>
      </w:r>
    </w:p>
    <w:sectPr w:rsidR="003F2EEF" w:rsidRPr="00237AA8" w:rsidSect="00C12C36">
      <w:headerReference w:type="default" r:id="rId49"/>
      <w:footerReference w:type="default" r:id="rId50"/>
      <w:pgSz w:w="11906" w:h="16838"/>
      <w:pgMar w:top="1418" w:right="1134" w:bottom="1418" w:left="1134" w:header="426" w:footer="261" w:gutter="0"/>
      <w:cols w:space="720"/>
      <w:formProt w:val="0"/>
      <w:docGrid w:linePitch="360" w:charSpace="-6145"/>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3610D78F" w14:textId="77777777" w:rsidR="002936C8" w:rsidRDefault="002936C8" w:rsidP="00F31060">
      <w:pPr>
        <w:pStyle w:val="Textodecomentrio"/>
      </w:pPr>
      <w:r>
        <w:rPr>
          <w:rStyle w:val="Refdecomentrio"/>
        </w:rPr>
        <w:annotationRef/>
      </w:r>
      <w:r>
        <w:rPr>
          <w:b/>
          <w:bCs/>
          <w:i/>
          <w:iCs/>
          <w:color w:val="000000"/>
        </w:rPr>
        <w:t>Nota Explicativa:</w:t>
      </w:r>
      <w:r>
        <w:rPr>
          <w:i/>
          <w:iCs/>
          <w:color w:val="000000"/>
        </w:rPr>
        <w:t xml:space="preserve"> Orientação Normativa AGU nº 54/2014: Compete ao agente ou setor técnico da administração declarar que o objeto licitatório é de natureza comum para efeito de utilização da modalidade pregão e definir se o objeto corresponde a obra ou serviço de engenharia, sendo atribuição do órgão jurídico analisar o devido enquadramento da modalidade licitatória aplicável</w:t>
      </w:r>
    </w:p>
  </w:comment>
  <w:comment w:id="1" w:author="Autor" w:initials="A">
    <w:p w14:paraId="3F2A4A5D" w14:textId="77777777" w:rsidR="002936C8" w:rsidRDefault="002936C8" w:rsidP="00F31060">
      <w:pPr>
        <w:pStyle w:val="Textodecomentrio"/>
      </w:pPr>
      <w:r>
        <w:rPr>
          <w:rStyle w:val="Refdecomentrio"/>
        </w:rPr>
        <w:annotationRef/>
      </w:r>
      <w:r>
        <w:rPr>
          <w:b/>
          <w:bCs/>
          <w:i/>
          <w:iCs/>
          <w:color w:val="000000"/>
        </w:rPr>
        <w:t xml:space="preserve">Nota Explicativa: Vedação quanto à aquisição de itens de luxo - </w:t>
      </w:r>
      <w:r>
        <w:rPr>
          <w:i/>
          <w:iCs/>
          <w:color w:val="000000"/>
        </w:rPr>
        <w:t xml:space="preserve">O artigo 20 da Lei nº 14.133, de 2021, estabelece que os itens de consumo deverão ser de qualidade comum, não superior à necessária para cumprir as finalidades às quais se destinam, vedada a aquisição de artigos de luxo. O Decreto nº 10.818, de 2021 regulamentou o tema, devendo as vedações nele estabelecidas serem respeitadas pelo administrador público. </w:t>
      </w:r>
    </w:p>
  </w:comment>
  <w:comment w:id="2" w:author="Autor" w:initials="A">
    <w:p w14:paraId="7C575682" w14:textId="77777777" w:rsidR="002936C8" w:rsidRDefault="002936C8" w:rsidP="00466824">
      <w:pPr>
        <w:pStyle w:val="Textodecomentrio"/>
      </w:pPr>
      <w:r>
        <w:rPr>
          <w:rStyle w:val="Refdecomentrio"/>
        </w:rPr>
        <w:annotationRef/>
      </w:r>
      <w:r>
        <w:rPr>
          <w:b/>
          <w:bCs/>
          <w:i/>
          <w:iCs/>
          <w:color w:val="000000"/>
        </w:rPr>
        <w:t>Nota Explicativa:</w:t>
      </w:r>
      <w:r>
        <w:rPr>
          <w:i/>
          <w:iCs/>
          <w:color w:val="000000"/>
        </w:rPr>
        <w:t xml:space="preserve"> Deverá a Administração indicar o índice de preços a ser utilizado para a atualização monetária do valor devido ao contratado.</w:t>
      </w:r>
    </w:p>
  </w:comment>
  <w:comment w:id="4" w:author="Autor" w:initials="A">
    <w:p w14:paraId="7E47C5EB" w14:textId="77777777" w:rsidR="002936C8" w:rsidRDefault="002936C8" w:rsidP="00B152FE">
      <w:pPr>
        <w:pStyle w:val="Textodecomentrio"/>
      </w:pPr>
      <w:r>
        <w:rPr>
          <w:rStyle w:val="Refdecomentrio"/>
        </w:rPr>
        <w:annotationRef/>
      </w:r>
      <w:r>
        <w:rPr>
          <w:b/>
          <w:bCs/>
          <w:i/>
          <w:iCs/>
          <w:color w:val="000000"/>
        </w:rPr>
        <w:t>Nota Explicativa:</w:t>
      </w:r>
      <w:r>
        <w:rPr>
          <w:i/>
          <w:iCs/>
          <w:color w:val="000000"/>
        </w:rPr>
        <w:t xml:space="preserve"> No caso do subitem 7.33.1, o órgão contratante pode optar por mudar a redação para já vedar de plano as cessões não fiduciárias. Entretanto, reitera-se que as cessões fiduciárias (subitem 7.33) devem permanecer permitidas, por força do </w:t>
      </w:r>
      <w:hyperlink r:id="rId1" w:history="1">
        <w:r w:rsidRPr="00FC616E">
          <w:rPr>
            <w:rStyle w:val="Hyperlink"/>
            <w:i/>
            <w:iCs/>
          </w:rPr>
          <w:t>art. 15 da IN SEGES/ME nº 53/2020</w:t>
        </w:r>
      </w:hyperlink>
      <w:r>
        <w:rPr>
          <w:i/>
          <w:iCs/>
          <w:color w:val="000000"/>
        </w:rPr>
        <w:t>.</w:t>
      </w:r>
    </w:p>
  </w:comment>
  <w:comment w:id="8" w:author="Autor" w:initials="A">
    <w:p w14:paraId="79F005DF" w14:textId="77777777" w:rsidR="002936C8" w:rsidRDefault="002936C8" w:rsidP="00CB1132">
      <w:pPr>
        <w:pStyle w:val="Textodecomentrio"/>
      </w:pPr>
      <w:r>
        <w:rPr>
          <w:rStyle w:val="Refdecomentrio"/>
        </w:rPr>
        <w:annotationRef/>
      </w:r>
      <w:r>
        <w:rPr>
          <w:b/>
          <w:bCs/>
          <w:i/>
          <w:iCs/>
          <w:color w:val="000000"/>
        </w:rPr>
        <w:t>Nota Explicativa 1:</w:t>
      </w:r>
      <w:r>
        <w:rPr>
          <w:i/>
          <w:iCs/>
          <w:color w:val="000000"/>
        </w:rPr>
        <w:t xml:space="preserve"> 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edital. Conforme Nota Explicativa do início deste tópico, a exigência de qualificação técnica e econômica nas circunstâncias previstas no art. 70, III da </w:t>
      </w:r>
      <w:hyperlink r:id="rId2" w:history="1">
        <w:r w:rsidRPr="00082396">
          <w:rPr>
            <w:rStyle w:val="Hyperlink"/>
            <w:i/>
            <w:iCs/>
          </w:rPr>
          <w:t>Lei n.º 14.133, de 2021</w:t>
        </w:r>
      </w:hyperlink>
      <w:r>
        <w:rPr>
          <w:i/>
          <w:iCs/>
          <w:color w:val="000000"/>
        </w:rPr>
        <w:t xml:space="preserve">, deve ser excepcional e justificada, à luz do </w:t>
      </w:r>
      <w:hyperlink r:id="rId3" w:history="1">
        <w:r w:rsidRPr="00082396">
          <w:rPr>
            <w:rStyle w:val="Hyperlink"/>
            <w:i/>
            <w:iCs/>
          </w:rPr>
          <w:t>art. 37, XXI, da Constituição Federal</w:t>
        </w:r>
      </w:hyperlink>
      <w:r>
        <w:rPr>
          <w:i/>
          <w:iCs/>
          <w:color w:val="000000"/>
        </w:rPr>
        <w:t>.</w:t>
      </w:r>
    </w:p>
    <w:p w14:paraId="081E3D31" w14:textId="77777777" w:rsidR="002936C8" w:rsidRDefault="002936C8" w:rsidP="00CB1132">
      <w:pPr>
        <w:pStyle w:val="Textodecomentrio"/>
      </w:pPr>
      <w:r>
        <w:rPr>
          <w:b/>
          <w:bCs/>
          <w:i/>
          <w:iCs/>
          <w:color w:val="000000"/>
        </w:rPr>
        <w:t>Nota Explicativa 2:</w:t>
      </w:r>
      <w:r>
        <w:rPr>
          <w:i/>
          <w:iCs/>
          <w:color w:val="000000"/>
        </w:rPr>
        <w:t xml:space="preserve"> É possível adotar critérios de habilitação econômico-financeira com requisitos diferenciados, estabelecidos conforme as peculiaridades do objeto a ser licitado, com justificativa do percentual adotado nos autos do procedimento licitatório.</w:t>
      </w:r>
    </w:p>
  </w:comment>
  <w:comment w:id="9" w:author="Autor" w:initials="A">
    <w:p w14:paraId="0B1E39FA" w14:textId="77777777" w:rsidR="002936C8" w:rsidRDefault="002936C8" w:rsidP="00CB1132">
      <w:pPr>
        <w:pStyle w:val="Textodecomentrio"/>
      </w:pPr>
      <w:r>
        <w:t>Nota Explicativa: Conforme o §4º do art. 16 da Instrução Normativa SEGES/MP nº 3, de 2018</w:t>
      </w:r>
      <w:r>
        <w:rPr>
          <w:rStyle w:val="Refdecomentrio"/>
        </w:rPr>
        <w:annotationRef/>
      </w:r>
    </w:p>
  </w:comment>
  <w:comment w:id="10" w:author="Autor" w:initials="A">
    <w:p w14:paraId="21A2CFA3" w14:textId="77777777" w:rsidR="002936C8" w:rsidRDefault="002936C8" w:rsidP="00CB1132">
      <w:pPr>
        <w:pStyle w:val="Textodecomentrio"/>
      </w:pPr>
      <w:r>
        <w:rPr>
          <w:rStyle w:val="Refdecomentrio"/>
        </w:rPr>
        <w:annotationRef/>
      </w:r>
      <w:r>
        <w:rPr>
          <w:b/>
          <w:bCs/>
          <w:i/>
          <w:iCs/>
          <w:color w:val="000000"/>
        </w:rPr>
        <w:t>Nota Explicativa 1:</w:t>
      </w:r>
      <w:r>
        <w:rPr>
          <w:i/>
          <w:iCs/>
          <w:color w:val="000000"/>
        </w:rPr>
        <w:t xml:space="preserve"> Não podem ser cumulativas as exigências de capital mínimo e de patrimônio líquido mínimo, razão pela qual a Administração deverá escolher motivadamente entre uma das duas opções.</w:t>
      </w:r>
    </w:p>
    <w:p w14:paraId="7E04734F" w14:textId="77777777" w:rsidR="002936C8" w:rsidRDefault="002936C8" w:rsidP="00CB1132">
      <w:pPr>
        <w:pStyle w:val="Textodecomentrio"/>
      </w:pPr>
      <w:r>
        <w:rPr>
          <w:b/>
          <w:bCs/>
          <w:i/>
          <w:iCs/>
          <w:color w:val="000000"/>
        </w:rPr>
        <w:t>Nota Explicativa 2:</w:t>
      </w:r>
      <w:r>
        <w:rPr>
          <w:i/>
          <w:iCs/>
          <w:color w:val="000000"/>
        </w:rPr>
        <w:t xml:space="preserve"> A fixação do percentual se insere na esfera de atuação discricionária da Administração até o limite legal de 10% (dez por cento) do valor estimado da contratação e deve ser proporcional aos riscos que a inexecução total ou parcial do contrato poderá acarretar para a Administração, considerando-se, entre outros fatores, o valor do contrato, a essencialidade do objeto, o tempo de duração do contrato. </w:t>
      </w:r>
    </w:p>
    <w:p w14:paraId="0BC88867" w14:textId="77777777" w:rsidR="002936C8" w:rsidRDefault="002936C8" w:rsidP="00CB1132">
      <w:pPr>
        <w:pStyle w:val="Textodecomentrio"/>
      </w:pPr>
      <w:r>
        <w:rPr>
          <w:i/>
          <w:iCs/>
          <w:color w:val="000000"/>
        </w:rPr>
        <w:t>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comment>
  <w:comment w:id="11" w:author="Autor" w:initials="A">
    <w:p w14:paraId="27257DB5" w14:textId="77777777" w:rsidR="002936C8" w:rsidRDefault="002936C8" w:rsidP="00CB1132">
      <w:pPr>
        <w:pStyle w:val="Textodecomentrio"/>
      </w:pPr>
      <w:r>
        <w:rPr>
          <w:rStyle w:val="Refdecomentrio"/>
        </w:rPr>
        <w:annotationRef/>
      </w:r>
      <w:r>
        <w:rPr>
          <w:b/>
          <w:bCs/>
          <w:i/>
          <w:iCs/>
          <w:color w:val="000000"/>
        </w:rPr>
        <w:t>Nota Explicativa:</w:t>
      </w:r>
      <w:r>
        <w:rPr>
          <w:i/>
          <w:iCs/>
          <w:color w:val="000000"/>
        </w:rPr>
        <w:t xml:space="preserve"> A previsão do subitem 8.29 decorre do disposto no </w:t>
      </w:r>
      <w:hyperlink r:id="rId4" w:history="1">
        <w:r w:rsidRPr="00BB65C0">
          <w:rPr>
            <w:rStyle w:val="Hyperlink"/>
            <w:i/>
            <w:iCs/>
          </w:rPr>
          <w:t>art. 69, §1º da Lei nº 14.133, de 2021</w:t>
        </w:r>
      </w:hyperlink>
      <w:r>
        <w:rPr>
          <w:i/>
          <w:iCs/>
          <w:color w:val="000000"/>
        </w:rPr>
        <w:t>, podendo a Administração optar por tal disposição, desde que justificadamente.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10D78F" w15:done="0"/>
  <w15:commentEx w15:paraId="3F2A4A5D" w15:done="0"/>
  <w15:commentEx w15:paraId="7C575682" w15:done="0"/>
  <w15:commentEx w15:paraId="7E47C5EB" w15:done="0"/>
  <w15:commentEx w15:paraId="081E3D31" w15:done="0"/>
  <w15:commentEx w15:paraId="0B1E39FA" w15:done="0"/>
  <w15:commentEx w15:paraId="0BC88867" w15:done="0"/>
  <w15:commentEx w15:paraId="27257DB5"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65A14" w14:textId="77777777" w:rsidR="00EF0C07" w:rsidRDefault="00EF0C07">
      <w:r>
        <w:separator/>
      </w:r>
    </w:p>
  </w:endnote>
  <w:endnote w:type="continuationSeparator" w:id="0">
    <w:p w14:paraId="4AD9CEB3" w14:textId="77777777" w:rsidR="00EF0C07" w:rsidRDefault="00EF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00"/>
    <w:family w:val="modern"/>
    <w:pitch w:val="fixed"/>
  </w:font>
  <w:font w:name="Ecofont_Spranq_eco_San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charset w:val="00"/>
    <w:family w:val="roman"/>
    <w:pitch w:val="default"/>
  </w:font>
  <w:font w:name="Lohit Hindi">
    <w:altName w:val="MS Gothic"/>
    <w:charset w:val="00"/>
    <w:family w:val="roman"/>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pranq eco sans">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font>
  <w:font w:name="Carlito">
    <w:altName w:val="Calibri"/>
    <w:charset w:val="01"/>
    <w:family w:val="swiss"/>
    <w:pitch w:val="variable"/>
  </w:font>
  <w:font w:name="DejaVu Sans">
    <w:altName w:val="Arial"/>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8213752"/>
      <w:docPartObj>
        <w:docPartGallery w:val="Page Numbers (Bottom of Page)"/>
        <w:docPartUnique/>
      </w:docPartObj>
    </w:sdtPr>
    <w:sdtEndPr/>
    <w:sdtContent>
      <w:p w14:paraId="6644EE5D" w14:textId="41A17544" w:rsidR="002936C8" w:rsidRPr="002439C9" w:rsidRDefault="002936C8">
        <w:pPr>
          <w:pStyle w:val="Rodap"/>
          <w:rPr>
            <w:rFonts w:asciiTheme="majorHAnsi" w:hAnsiTheme="majorHAnsi" w:cstheme="majorHAnsi"/>
            <w:b/>
            <w:color w:val="auto"/>
            <w:sz w:val="18"/>
            <w:szCs w:val="18"/>
          </w:rPr>
        </w:pPr>
        <w:r w:rsidRPr="00C12C36">
          <w:rPr>
            <w:rFonts w:asciiTheme="majorHAnsi" w:hAnsiTheme="majorHAnsi" w:cstheme="majorHAnsi"/>
            <w:b/>
            <w:color w:val="000000"/>
            <w:sz w:val="18"/>
            <w:szCs w:val="18"/>
          </w:rPr>
          <w:t xml:space="preserve">Processo </w:t>
        </w:r>
        <w:r w:rsidRPr="00C12C36">
          <w:rPr>
            <w:rFonts w:asciiTheme="majorHAnsi" w:hAnsiTheme="majorHAnsi" w:cstheme="majorHAnsi"/>
            <w:b/>
            <w:color w:val="auto"/>
            <w:sz w:val="18"/>
            <w:szCs w:val="18"/>
          </w:rPr>
          <w:t>Administrativo (NUP) n</w:t>
        </w:r>
        <w:r w:rsidRPr="00C12C36">
          <w:rPr>
            <w:rFonts w:asciiTheme="majorHAnsi" w:hAnsiTheme="majorHAnsi" w:cstheme="majorHAnsi"/>
            <w:b/>
            <w:bCs/>
            <w:color w:val="auto"/>
            <w:sz w:val="18"/>
            <w:szCs w:val="18"/>
          </w:rPr>
          <w:t>°</w:t>
        </w:r>
        <w:r>
          <w:rPr>
            <w:rFonts w:asciiTheme="majorHAnsi" w:hAnsiTheme="majorHAnsi" w:cstheme="majorHAnsi"/>
            <w:b/>
            <w:bCs/>
            <w:color w:val="auto"/>
            <w:sz w:val="18"/>
            <w:szCs w:val="18"/>
          </w:rPr>
          <w:t xml:space="preserve"> </w:t>
        </w:r>
        <w:r w:rsidRPr="00C12C36">
          <w:rPr>
            <w:rFonts w:asciiTheme="majorHAnsi" w:hAnsiTheme="majorHAnsi" w:cstheme="majorHAnsi"/>
            <w:b/>
            <w:bCs/>
            <w:color w:val="auto"/>
            <w:sz w:val="18"/>
            <w:szCs w:val="18"/>
          </w:rPr>
          <w:t>6441</w:t>
        </w:r>
        <w:r>
          <w:rPr>
            <w:rFonts w:asciiTheme="majorHAnsi" w:hAnsiTheme="majorHAnsi" w:cstheme="majorHAnsi"/>
            <w:b/>
            <w:bCs/>
            <w:color w:val="auto"/>
            <w:sz w:val="18"/>
            <w:szCs w:val="18"/>
          </w:rPr>
          <w:t>1</w:t>
        </w:r>
        <w:r w:rsidRPr="00C12C36">
          <w:rPr>
            <w:rFonts w:asciiTheme="majorHAnsi" w:hAnsiTheme="majorHAnsi" w:cstheme="majorHAnsi"/>
            <w:b/>
            <w:bCs/>
            <w:color w:val="auto"/>
            <w:sz w:val="18"/>
            <w:szCs w:val="18"/>
          </w:rPr>
          <w:t>.00</w:t>
        </w:r>
        <w:r w:rsidR="00CD48D0">
          <w:rPr>
            <w:rFonts w:asciiTheme="majorHAnsi" w:hAnsiTheme="majorHAnsi" w:cstheme="majorHAnsi"/>
            <w:b/>
            <w:bCs/>
            <w:color w:val="auto"/>
            <w:sz w:val="18"/>
            <w:szCs w:val="18"/>
          </w:rPr>
          <w:t>3427</w:t>
        </w:r>
        <w:r w:rsidRPr="00C12C36">
          <w:rPr>
            <w:rFonts w:asciiTheme="majorHAnsi" w:hAnsiTheme="majorHAnsi" w:cstheme="majorHAnsi"/>
            <w:b/>
            <w:bCs/>
            <w:color w:val="auto"/>
            <w:sz w:val="18"/>
            <w:szCs w:val="18"/>
          </w:rPr>
          <w:t>/2024-</w:t>
        </w:r>
        <w:r w:rsidR="00CD48D0">
          <w:rPr>
            <w:rFonts w:asciiTheme="majorHAnsi" w:hAnsiTheme="majorHAnsi" w:cstheme="majorHAnsi"/>
            <w:b/>
            <w:bCs/>
            <w:color w:val="auto"/>
            <w:sz w:val="18"/>
            <w:szCs w:val="18"/>
          </w:rPr>
          <w:t>96</w:t>
        </w:r>
        <w:r w:rsidRPr="00C12C36">
          <w:rPr>
            <w:rFonts w:asciiTheme="majorHAnsi" w:hAnsiTheme="majorHAnsi" w:cstheme="majorHAnsi"/>
            <w:bCs/>
            <w:color w:val="auto"/>
            <w:sz w:val="18"/>
            <w:szCs w:val="18"/>
          </w:rPr>
          <w:t xml:space="preserve"> </w:t>
        </w:r>
        <w:r>
          <w:rPr>
            <w:rFonts w:asciiTheme="majorHAnsi" w:hAnsiTheme="majorHAnsi" w:cstheme="majorHAnsi"/>
            <w:bCs/>
            <w:color w:val="auto"/>
            <w:sz w:val="18"/>
            <w:szCs w:val="18"/>
          </w:rPr>
          <w:t xml:space="preserve">                                                                                              </w:t>
        </w:r>
        <w:r w:rsidRPr="00C12C36">
          <w:rPr>
            <w:rFonts w:asciiTheme="majorHAnsi" w:hAnsiTheme="majorHAnsi" w:cstheme="majorHAnsi"/>
            <w:b/>
            <w:color w:val="auto"/>
            <w:spacing w:val="60"/>
            <w:sz w:val="18"/>
            <w:szCs w:val="18"/>
          </w:rPr>
          <w:t>Página</w:t>
        </w:r>
        <w:r w:rsidRPr="00C12C36">
          <w:rPr>
            <w:rFonts w:asciiTheme="majorHAnsi" w:hAnsiTheme="majorHAnsi" w:cstheme="majorHAnsi"/>
            <w:b/>
            <w:color w:val="auto"/>
            <w:sz w:val="18"/>
            <w:szCs w:val="18"/>
          </w:rPr>
          <w:t xml:space="preserve"> </w:t>
        </w:r>
        <w:r w:rsidRPr="00C12C36">
          <w:rPr>
            <w:rFonts w:asciiTheme="majorHAnsi" w:hAnsiTheme="majorHAnsi" w:cstheme="majorHAnsi"/>
            <w:b/>
            <w:color w:val="auto"/>
            <w:sz w:val="18"/>
            <w:szCs w:val="18"/>
          </w:rPr>
          <w:fldChar w:fldCharType="begin"/>
        </w:r>
        <w:r w:rsidRPr="00C12C36">
          <w:rPr>
            <w:rFonts w:asciiTheme="majorHAnsi" w:hAnsiTheme="majorHAnsi" w:cstheme="majorHAnsi"/>
            <w:b/>
            <w:color w:val="auto"/>
            <w:sz w:val="18"/>
            <w:szCs w:val="18"/>
          </w:rPr>
          <w:instrText>PAGE</w:instrText>
        </w:r>
        <w:r w:rsidRPr="00C12C36">
          <w:rPr>
            <w:rFonts w:asciiTheme="majorHAnsi" w:hAnsiTheme="majorHAnsi" w:cstheme="majorHAnsi"/>
            <w:b/>
            <w:color w:val="auto"/>
            <w:sz w:val="18"/>
            <w:szCs w:val="18"/>
          </w:rPr>
          <w:fldChar w:fldCharType="separate"/>
        </w:r>
        <w:r w:rsidR="005D7607">
          <w:rPr>
            <w:rFonts w:asciiTheme="majorHAnsi" w:hAnsiTheme="majorHAnsi" w:cstheme="majorHAnsi"/>
            <w:b/>
            <w:noProof/>
            <w:color w:val="auto"/>
            <w:sz w:val="18"/>
            <w:szCs w:val="18"/>
          </w:rPr>
          <w:t>13</w:t>
        </w:r>
        <w:r w:rsidRPr="00C12C36">
          <w:rPr>
            <w:rFonts w:asciiTheme="majorHAnsi" w:hAnsiTheme="majorHAnsi" w:cstheme="majorHAnsi"/>
            <w:b/>
            <w:color w:val="auto"/>
            <w:sz w:val="18"/>
            <w:szCs w:val="18"/>
          </w:rPr>
          <w:fldChar w:fldCharType="end"/>
        </w:r>
        <w:r w:rsidRPr="00C12C36">
          <w:rPr>
            <w:rFonts w:asciiTheme="majorHAnsi" w:hAnsiTheme="majorHAnsi" w:cstheme="majorHAnsi"/>
            <w:b/>
            <w:color w:val="auto"/>
            <w:sz w:val="18"/>
            <w:szCs w:val="18"/>
          </w:rPr>
          <w:t xml:space="preserve"> | </w:t>
        </w:r>
        <w:r w:rsidRPr="00C12C36">
          <w:rPr>
            <w:rFonts w:asciiTheme="majorHAnsi" w:hAnsiTheme="majorHAnsi" w:cstheme="majorHAnsi"/>
            <w:b/>
            <w:color w:val="auto"/>
            <w:sz w:val="18"/>
            <w:szCs w:val="18"/>
          </w:rPr>
          <w:fldChar w:fldCharType="begin"/>
        </w:r>
        <w:r w:rsidRPr="00C12C36">
          <w:rPr>
            <w:rFonts w:asciiTheme="majorHAnsi" w:hAnsiTheme="majorHAnsi" w:cstheme="majorHAnsi"/>
            <w:b/>
            <w:color w:val="auto"/>
            <w:sz w:val="18"/>
            <w:szCs w:val="18"/>
          </w:rPr>
          <w:instrText>NUMPAGES</w:instrText>
        </w:r>
        <w:r w:rsidRPr="00C12C36">
          <w:rPr>
            <w:rFonts w:asciiTheme="majorHAnsi" w:hAnsiTheme="majorHAnsi" w:cstheme="majorHAnsi"/>
            <w:b/>
            <w:color w:val="auto"/>
            <w:sz w:val="18"/>
            <w:szCs w:val="18"/>
          </w:rPr>
          <w:fldChar w:fldCharType="separate"/>
        </w:r>
        <w:r w:rsidR="005D7607">
          <w:rPr>
            <w:rFonts w:asciiTheme="majorHAnsi" w:hAnsiTheme="majorHAnsi" w:cstheme="majorHAnsi"/>
            <w:b/>
            <w:noProof/>
            <w:color w:val="auto"/>
            <w:sz w:val="18"/>
            <w:szCs w:val="18"/>
          </w:rPr>
          <w:t>13</w:t>
        </w:r>
        <w:r w:rsidRPr="00C12C36">
          <w:rPr>
            <w:rFonts w:asciiTheme="majorHAnsi" w:hAnsiTheme="majorHAnsi" w:cstheme="majorHAnsi"/>
            <w:b/>
            <w:color w:val="auto"/>
            <w:sz w:val="18"/>
            <w:szCs w:val="18"/>
          </w:rPr>
          <w:fldChar w:fldCharType="end"/>
        </w:r>
      </w:p>
    </w:sdtContent>
  </w:sdt>
  <w:p w14:paraId="7D796157" w14:textId="77777777" w:rsidR="002936C8" w:rsidRDefault="002936C8">
    <w:pPr>
      <w:pStyle w:val="Rodap"/>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F77DE" w14:textId="77777777" w:rsidR="00EF0C07" w:rsidRDefault="00EF0C07">
      <w:r>
        <w:separator/>
      </w:r>
    </w:p>
  </w:footnote>
  <w:footnote w:type="continuationSeparator" w:id="0">
    <w:p w14:paraId="38FF3C35" w14:textId="77777777" w:rsidR="00EF0C07" w:rsidRDefault="00EF0C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E8DE1" w14:textId="70A7301C" w:rsidR="002936C8" w:rsidRPr="00805D3F" w:rsidRDefault="002936C8" w:rsidP="00925327">
    <w:pPr>
      <w:pStyle w:val="Cabealho"/>
      <w:ind w:right="707"/>
      <w:jc w:val="right"/>
      <w:rPr>
        <w:rFonts w:ascii="Arial" w:hAnsi="Arial" w:cs="Arial"/>
        <w:sz w:val="20"/>
        <w:szCs w:val="20"/>
      </w:rPr>
    </w:pPr>
    <w:r>
      <w:rPr>
        <w:noProof/>
        <w:sz w:val="20"/>
      </w:rPr>
      <w:drawing>
        <wp:anchor distT="0" distB="0" distL="114300" distR="114300" simplePos="0" relativeHeight="251662336" behindDoc="0" locked="0" layoutInCell="1" allowOverlap="1" wp14:anchorId="33D6F807" wp14:editId="58ED976F">
          <wp:simplePos x="0" y="0"/>
          <wp:positionH relativeFrom="column">
            <wp:posOffset>-222885</wp:posOffset>
          </wp:positionH>
          <wp:positionV relativeFrom="paragraph">
            <wp:posOffset>9525</wp:posOffset>
          </wp:positionV>
          <wp:extent cx="752475" cy="866775"/>
          <wp:effectExtent l="0" t="0" r="9525" b="9525"/>
          <wp:wrapSquare wrapText="bothSides"/>
          <wp:docPr id="2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2475" cy="866775"/>
                  </a:xfrm>
                  <a:prstGeom prst="rect">
                    <a:avLst/>
                  </a:prstGeom>
                </pic:spPr>
              </pic:pic>
            </a:graphicData>
          </a:graphic>
          <wp14:sizeRelH relativeFrom="page">
            <wp14:pctWidth>0</wp14:pctWidth>
          </wp14:sizeRelH>
          <wp14:sizeRelV relativeFrom="page">
            <wp14:pctHeight>0</wp14:pctHeight>
          </wp14:sizeRelV>
        </wp:anchor>
      </w:drawing>
    </w:r>
    <w:r>
      <w:rPr>
        <w:sz w:val="20"/>
      </w:rPr>
      <w:t xml:space="preserve">     </w:t>
    </w:r>
    <w:r>
      <w:rPr>
        <w:rFonts w:asciiTheme="majorHAnsi" w:eastAsiaTheme="majorEastAsia" w:hAnsiTheme="majorHAnsi" w:cstheme="majorBidi"/>
        <w:b/>
        <w:bCs/>
        <w:color w:val="365F91" w:themeColor="accent1" w:themeShade="BF"/>
        <w:sz w:val="20"/>
        <w:szCs w:val="28"/>
      </w:rPr>
      <w:tab/>
    </w:r>
    <w:r w:rsidRPr="00805D3F">
      <w:rPr>
        <w:rFonts w:ascii="Arial" w:hAnsi="Arial" w:cs="Arial"/>
        <w:sz w:val="20"/>
        <w:szCs w:val="20"/>
      </w:rPr>
      <w:t>TERMO DE REFERÊNCIA - AQUISIÇÕES - LICITAÇÃO</w:t>
    </w:r>
  </w:p>
  <w:p w14:paraId="3E35D3DE" w14:textId="77777777" w:rsidR="002936C8" w:rsidRDefault="002936C8">
    <w:pPr>
      <w:pStyle w:val="Standard"/>
      <w:jc w:val="center"/>
      <w:rPr>
        <w:rFonts w:hint="eastAsia"/>
        <w:b/>
        <w:bCs/>
        <w:color w:val="000000"/>
        <w:sz w:val="20"/>
        <w:szCs w:val="20"/>
      </w:rPr>
    </w:pPr>
  </w:p>
  <w:p w14:paraId="320DD167" w14:textId="77777777" w:rsidR="002936C8" w:rsidRDefault="00EF0C07">
    <w:pPr>
      <w:pStyle w:val="Standard"/>
      <w:jc w:val="center"/>
      <w:rPr>
        <w:rFonts w:ascii="Calibri" w:hAnsi="Calibri" w:cs="Calibri"/>
        <w:b/>
        <w:bCs/>
        <w:color w:val="000000"/>
        <w:sz w:val="20"/>
        <w:szCs w:val="20"/>
      </w:rPr>
    </w:pPr>
    <w:r>
      <w:rPr>
        <w:b/>
        <w:bCs/>
        <w:noProof/>
        <w:color w:val="000000"/>
        <w:sz w:val="20"/>
        <w:szCs w:val="20"/>
        <w:lang w:eastAsia="pt-BR" w:bidi="ar-SA"/>
      </w:rPr>
      <w:object w:dxaOrig="1440" w:dyaOrig="1440" w14:anchorId="7112B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220.25pt;margin-top:9.4pt;width:42pt;height:39pt;z-index:251663360;mso-position-horizontal-relative:text;mso-position-vertical-relative:text;mso-width-relative:page;mso-height-relative:page" filled="t">
          <v:fill opacity="0" color2="black"/>
          <v:imagedata r:id="rId2" o:title=""/>
        </v:shape>
        <o:OLEObject Type="Embed" ProgID="PBrush" ShapeID="_x0000_s2051" DrawAspect="Content" ObjectID="_1794893549" r:id="rId3"/>
      </w:object>
    </w:r>
  </w:p>
  <w:p w14:paraId="57272985" w14:textId="77777777" w:rsidR="002936C8" w:rsidRDefault="002936C8">
    <w:pPr>
      <w:pStyle w:val="Standard"/>
      <w:jc w:val="center"/>
      <w:rPr>
        <w:rFonts w:ascii="Calibri" w:hAnsi="Calibri" w:cs="Calibri"/>
        <w:b/>
        <w:bCs/>
        <w:color w:val="000000"/>
        <w:sz w:val="20"/>
        <w:szCs w:val="20"/>
      </w:rPr>
    </w:pPr>
  </w:p>
  <w:p w14:paraId="1470A9A3" w14:textId="77777777" w:rsidR="002936C8" w:rsidRDefault="002936C8">
    <w:pPr>
      <w:pStyle w:val="Standard"/>
      <w:jc w:val="center"/>
      <w:rPr>
        <w:rFonts w:ascii="Calibri" w:hAnsi="Calibri" w:cs="Calibri"/>
        <w:b/>
        <w:bCs/>
        <w:color w:val="000000"/>
        <w:sz w:val="20"/>
        <w:szCs w:val="20"/>
      </w:rPr>
    </w:pPr>
  </w:p>
  <w:p w14:paraId="41288F48" w14:textId="77777777" w:rsidR="002936C8" w:rsidRDefault="002936C8">
    <w:pPr>
      <w:pStyle w:val="Standard"/>
      <w:jc w:val="center"/>
      <w:rPr>
        <w:rFonts w:ascii="Calibri" w:hAnsi="Calibri" w:cs="Calibri"/>
        <w:b/>
        <w:bCs/>
        <w:color w:val="000000"/>
        <w:sz w:val="20"/>
        <w:szCs w:val="20"/>
      </w:rPr>
    </w:pPr>
  </w:p>
  <w:p w14:paraId="4C0D986B" w14:textId="77777777" w:rsidR="002936C8" w:rsidRDefault="002936C8">
    <w:pPr>
      <w:pStyle w:val="Standard"/>
      <w:jc w:val="center"/>
      <w:rPr>
        <w:rFonts w:ascii="Calibri" w:hAnsi="Calibri" w:cs="Calibri"/>
        <w:b/>
        <w:bCs/>
        <w:color w:val="000000"/>
        <w:sz w:val="20"/>
        <w:szCs w:val="20"/>
      </w:rPr>
    </w:pPr>
    <w:r w:rsidRPr="006F1B16">
      <w:rPr>
        <w:rFonts w:ascii="Calibri" w:hAnsi="Calibri" w:cs="Calibri"/>
        <w:b/>
        <w:bCs/>
        <w:color w:val="000000"/>
        <w:sz w:val="20"/>
        <w:szCs w:val="20"/>
      </w:rPr>
      <w:t>MINISTÉRIO DA DEFESA</w:t>
    </w:r>
  </w:p>
  <w:p w14:paraId="409D23DA" w14:textId="77777777" w:rsidR="002936C8" w:rsidRPr="006F1B16" w:rsidRDefault="002936C8">
    <w:pPr>
      <w:pStyle w:val="Standard"/>
      <w:jc w:val="center"/>
      <w:rPr>
        <w:rFonts w:ascii="Calibri" w:hAnsi="Calibri" w:cs="Calibri"/>
        <w:b/>
        <w:bCs/>
        <w:color w:val="000000"/>
        <w:sz w:val="20"/>
        <w:szCs w:val="20"/>
      </w:rPr>
    </w:pPr>
    <w:r w:rsidRPr="006F1B16">
      <w:rPr>
        <w:rFonts w:ascii="Calibri" w:hAnsi="Calibri" w:cs="Calibri"/>
        <w:b/>
        <w:bCs/>
        <w:color w:val="000000"/>
        <w:sz w:val="20"/>
        <w:szCs w:val="20"/>
      </w:rPr>
      <w:t>EXÉRCITO BRASILEIRO</w:t>
    </w:r>
  </w:p>
  <w:p w14:paraId="67753A02" w14:textId="77777777" w:rsidR="002936C8" w:rsidRDefault="002936C8" w:rsidP="00925327">
    <w:pPr>
      <w:pStyle w:val="Standard"/>
      <w:jc w:val="center"/>
      <w:rPr>
        <w:rFonts w:ascii="Calibri" w:hAnsi="Calibri" w:cs="Calibri"/>
        <w:b/>
        <w:bCs/>
        <w:color w:val="000000"/>
        <w:sz w:val="20"/>
        <w:szCs w:val="20"/>
      </w:rPr>
    </w:pPr>
    <w:r w:rsidRPr="006F1B16">
      <w:rPr>
        <w:rFonts w:ascii="Calibri" w:hAnsi="Calibri" w:cs="Calibri"/>
        <w:b/>
        <w:bCs/>
        <w:color w:val="000000"/>
        <w:sz w:val="20"/>
        <w:szCs w:val="20"/>
      </w:rPr>
      <w:t>21ª COMPANHIA DE ENGENHARIA DE CONSTRUÇÃO</w:t>
    </w:r>
  </w:p>
  <w:p w14:paraId="173F5A70" w14:textId="77777777" w:rsidR="002936C8" w:rsidRDefault="002936C8" w:rsidP="00925327">
    <w:pPr>
      <w:pStyle w:val="Standard"/>
      <w:jc w:val="center"/>
      <w:rPr>
        <w:rFonts w:hint="eastAsia"/>
      </w:rPr>
    </w:pPr>
    <w:r w:rsidRPr="006F1B16">
      <w:rPr>
        <w:rFonts w:ascii="Calibri" w:hAnsi="Calibri" w:cs="Calibri"/>
        <w:b/>
        <w:bCs/>
        <w:color w:val="000000"/>
        <w:sz w:val="20"/>
        <w:szCs w:val="20"/>
      </w:rPr>
      <w:t>(COMPANHIA GUILHERME CARLOS LASSANCE)</w:t>
    </w:r>
    <w:r>
      <w:t xml:space="preserve"> </w:t>
    </w:r>
  </w:p>
  <w:p w14:paraId="747D29E4" w14:textId="77777777" w:rsidR="002936C8" w:rsidRDefault="002936C8" w:rsidP="006F1B16">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609F"/>
    <w:multiLevelType w:val="multilevel"/>
    <w:tmpl w:val="058413E2"/>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 w15:restartNumberingAfterBreak="0">
    <w:nsid w:val="08A55441"/>
    <w:multiLevelType w:val="multilevel"/>
    <w:tmpl w:val="1D18864C"/>
    <w:lvl w:ilvl="0">
      <w:start w:val="1"/>
      <w:numFmt w:val="decimal"/>
      <w:lvlText w:val="%1."/>
      <w:lvlJc w:val="left"/>
      <w:pPr>
        <w:ind w:left="360" w:hanging="360"/>
      </w:pPr>
      <w:rPr>
        <w:rFonts w:ascii="Calibri" w:hAnsi="Calibri"/>
        <w:b/>
        <w:sz w:val="22"/>
        <w:szCs w:val="22"/>
      </w:rPr>
    </w:lvl>
    <w:lvl w:ilvl="1">
      <w:start w:val="1"/>
      <w:numFmt w:val="decimal"/>
      <w:lvlText w:val="%1.%2."/>
      <w:lvlJc w:val="left"/>
      <w:pPr>
        <w:ind w:left="999" w:hanging="432"/>
      </w:pPr>
      <w:rPr>
        <w:b w:val="0"/>
        <w:i w:val="0"/>
        <w:strike w:val="0"/>
        <w:dstrike w:val="0"/>
        <w:color w:val="00000A"/>
        <w:sz w:val="20"/>
        <w:szCs w:val="20"/>
        <w:u w:val="none"/>
      </w:rPr>
    </w:lvl>
    <w:lvl w:ilvl="2">
      <w:start w:val="1"/>
      <w:numFmt w:val="decimal"/>
      <w:lvlText w:val="%1.%2.%3."/>
      <w:lvlJc w:val="left"/>
      <w:pPr>
        <w:ind w:left="3198" w:hanging="504"/>
      </w:pPr>
      <w:rPr>
        <w:rFonts w:cs="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C4869"/>
    <w:multiLevelType w:val="multilevel"/>
    <w:tmpl w:val="2E6A0C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353"/>
        </w:tabs>
        <w:ind w:left="1353" w:hanging="360"/>
      </w:pPr>
      <w:rPr>
        <w:rFonts w:cs="Arial"/>
        <w:b w:val="0"/>
        <w:i w:val="0"/>
        <w:color w:val="000000"/>
        <w:sz w:val="24"/>
        <w:szCs w:val="24"/>
      </w:rPr>
    </w:lvl>
    <w:lvl w:ilvl="3">
      <w:start w:val="1"/>
      <w:numFmt w:val="decimal"/>
      <w:lvlText w:val="%4."/>
      <w:lvlJc w:val="left"/>
      <w:pPr>
        <w:tabs>
          <w:tab w:val="num" w:pos="709"/>
        </w:tabs>
        <w:ind w:left="1800" w:hanging="360"/>
      </w:pPr>
      <w:rPr>
        <w:sz w:val="24"/>
        <w:szCs w:val="24"/>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B430A8B"/>
    <w:multiLevelType w:val="multilevel"/>
    <w:tmpl w:val="60DC3B02"/>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4" w15:restartNumberingAfterBreak="0">
    <w:nsid w:val="1D5C100D"/>
    <w:multiLevelType w:val="multilevel"/>
    <w:tmpl w:val="05525A9E"/>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00C79"/>
    <w:multiLevelType w:val="multilevel"/>
    <w:tmpl w:val="586E02FE"/>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44BB0240"/>
    <w:multiLevelType w:val="multilevel"/>
    <w:tmpl w:val="F5D452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4A3D504A"/>
    <w:multiLevelType w:val="multilevel"/>
    <w:tmpl w:val="B60216EA"/>
    <w:lvl w:ilvl="0">
      <w:start w:val="7"/>
      <w:numFmt w:val="decimal"/>
      <w:lvlText w:val="%1."/>
      <w:lvlJc w:val="left"/>
      <w:pPr>
        <w:ind w:left="435" w:hanging="435"/>
      </w:pPr>
      <w:rPr>
        <w:rFonts w:hint="default"/>
      </w:rPr>
    </w:lvl>
    <w:lvl w:ilvl="1">
      <w:start w:val="10"/>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A0F1334"/>
    <w:multiLevelType w:val="multilevel"/>
    <w:tmpl w:val="ABD4841A"/>
    <w:lvl w:ilvl="0">
      <w:start w:val="1"/>
      <w:numFmt w:val="decimal"/>
      <w:lvlText w:val="%1."/>
      <w:lvlJc w:val="left"/>
      <w:pPr>
        <w:ind w:left="360" w:hanging="360"/>
      </w:pPr>
      <w:rPr>
        <w:rFonts w:ascii="Calibri" w:hAnsi="Calibri"/>
        <w:b/>
        <w:sz w:val="22"/>
      </w:rPr>
    </w:lvl>
    <w:lvl w:ilvl="1">
      <w:start w:val="1"/>
      <w:numFmt w:val="decimal"/>
      <w:lvlText w:val="%1.%2."/>
      <w:lvlJc w:val="left"/>
      <w:pPr>
        <w:ind w:left="999" w:hanging="432"/>
      </w:pPr>
      <w:rPr>
        <w:rFonts w:ascii="Calibri" w:hAnsi="Calibri"/>
        <w:b w:val="0"/>
        <w:i w:val="0"/>
        <w:strike w:val="0"/>
        <w:dstrike w:val="0"/>
        <w:color w:val="00000A"/>
        <w:sz w:val="22"/>
        <w:szCs w:val="22"/>
        <w:u w:val="none"/>
      </w:rPr>
    </w:lvl>
    <w:lvl w:ilvl="2">
      <w:start w:val="1"/>
      <w:numFmt w:val="decimal"/>
      <w:lvlText w:val="%1.%2.%3."/>
      <w:lvlJc w:val="left"/>
      <w:pPr>
        <w:ind w:left="3198" w:hanging="504"/>
      </w:pPr>
      <w:rPr>
        <w:rFonts w:ascii="Calibri" w:hAnsi="Calibri" w:cs="Arial"/>
        <w:b w:val="0"/>
        <w:i w:val="0"/>
        <w:strike w:val="0"/>
        <w:dstrike w:val="0"/>
        <w:color w:val="00000A"/>
        <w:sz w:val="22"/>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
  </w:num>
  <w:num w:numId="3">
    <w:abstractNumId w:val="0"/>
  </w:num>
  <w:num w:numId="4">
    <w:abstractNumId w:val="5"/>
  </w:num>
  <w:num w:numId="5">
    <w:abstractNumId w:val="3"/>
  </w:num>
  <w:num w:numId="6">
    <w:abstractNumId w:val="2"/>
  </w:num>
  <w:num w:numId="7">
    <w:abstractNumId w:val="6"/>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EEF"/>
    <w:rsid w:val="0001377C"/>
    <w:rsid w:val="000202A4"/>
    <w:rsid w:val="00031E6F"/>
    <w:rsid w:val="000520C4"/>
    <w:rsid w:val="00087B74"/>
    <w:rsid w:val="000A1352"/>
    <w:rsid w:val="000A36A0"/>
    <w:rsid w:val="000C0675"/>
    <w:rsid w:val="000D39F1"/>
    <w:rsid w:val="000E22DD"/>
    <w:rsid w:val="00112F9A"/>
    <w:rsid w:val="001134FF"/>
    <w:rsid w:val="00116D7E"/>
    <w:rsid w:val="00120918"/>
    <w:rsid w:val="00120BAA"/>
    <w:rsid w:val="0013191D"/>
    <w:rsid w:val="001A65E8"/>
    <w:rsid w:val="001B261B"/>
    <w:rsid w:val="001B316F"/>
    <w:rsid w:val="001B3853"/>
    <w:rsid w:val="001C45D2"/>
    <w:rsid w:val="001C54AE"/>
    <w:rsid w:val="00205488"/>
    <w:rsid w:val="0022664A"/>
    <w:rsid w:val="00230849"/>
    <w:rsid w:val="00237AA8"/>
    <w:rsid w:val="002439C9"/>
    <w:rsid w:val="002563EE"/>
    <w:rsid w:val="0026565F"/>
    <w:rsid w:val="00271985"/>
    <w:rsid w:val="00291782"/>
    <w:rsid w:val="00293294"/>
    <w:rsid w:val="002936C8"/>
    <w:rsid w:val="002A07C7"/>
    <w:rsid w:val="002B2102"/>
    <w:rsid w:val="002B3AF8"/>
    <w:rsid w:val="002D7C4A"/>
    <w:rsid w:val="002E7ABD"/>
    <w:rsid w:val="0032646F"/>
    <w:rsid w:val="00327F9C"/>
    <w:rsid w:val="00344EFF"/>
    <w:rsid w:val="00345C57"/>
    <w:rsid w:val="00380419"/>
    <w:rsid w:val="0038106C"/>
    <w:rsid w:val="00385BD5"/>
    <w:rsid w:val="003948D4"/>
    <w:rsid w:val="00394DCB"/>
    <w:rsid w:val="003D1EC1"/>
    <w:rsid w:val="003D397B"/>
    <w:rsid w:val="003F2EEF"/>
    <w:rsid w:val="003F57B5"/>
    <w:rsid w:val="003F7623"/>
    <w:rsid w:val="004000A0"/>
    <w:rsid w:val="00422BF1"/>
    <w:rsid w:val="00427079"/>
    <w:rsid w:val="00466824"/>
    <w:rsid w:val="0047220F"/>
    <w:rsid w:val="0047229E"/>
    <w:rsid w:val="00474FDB"/>
    <w:rsid w:val="00490D6D"/>
    <w:rsid w:val="004D5A02"/>
    <w:rsid w:val="004E4FDA"/>
    <w:rsid w:val="004F3F57"/>
    <w:rsid w:val="0051566A"/>
    <w:rsid w:val="005567C4"/>
    <w:rsid w:val="00592E1A"/>
    <w:rsid w:val="005A339A"/>
    <w:rsid w:val="005C208F"/>
    <w:rsid w:val="005C3795"/>
    <w:rsid w:val="005D1591"/>
    <w:rsid w:val="005D7607"/>
    <w:rsid w:val="005E149A"/>
    <w:rsid w:val="005F48F5"/>
    <w:rsid w:val="00614EB0"/>
    <w:rsid w:val="0064132C"/>
    <w:rsid w:val="00645EC0"/>
    <w:rsid w:val="0066283F"/>
    <w:rsid w:val="00682090"/>
    <w:rsid w:val="0069225F"/>
    <w:rsid w:val="00697473"/>
    <w:rsid w:val="006B4536"/>
    <w:rsid w:val="006F1B16"/>
    <w:rsid w:val="006F716D"/>
    <w:rsid w:val="00704A1C"/>
    <w:rsid w:val="0070628E"/>
    <w:rsid w:val="00717837"/>
    <w:rsid w:val="00734026"/>
    <w:rsid w:val="0073527E"/>
    <w:rsid w:val="007353BD"/>
    <w:rsid w:val="00745CC8"/>
    <w:rsid w:val="0074771B"/>
    <w:rsid w:val="007575D3"/>
    <w:rsid w:val="00763263"/>
    <w:rsid w:val="00775C66"/>
    <w:rsid w:val="00783D15"/>
    <w:rsid w:val="00785996"/>
    <w:rsid w:val="00794E3B"/>
    <w:rsid w:val="00797828"/>
    <w:rsid w:val="007A16F8"/>
    <w:rsid w:val="007A2A3A"/>
    <w:rsid w:val="007A5B70"/>
    <w:rsid w:val="007C582C"/>
    <w:rsid w:val="007D1C3A"/>
    <w:rsid w:val="00800747"/>
    <w:rsid w:val="00820D86"/>
    <w:rsid w:val="008364E3"/>
    <w:rsid w:val="00846AE4"/>
    <w:rsid w:val="00856941"/>
    <w:rsid w:val="00897CAC"/>
    <w:rsid w:val="008E3191"/>
    <w:rsid w:val="008E5B10"/>
    <w:rsid w:val="008F221C"/>
    <w:rsid w:val="008F4BA5"/>
    <w:rsid w:val="008F76F3"/>
    <w:rsid w:val="00911563"/>
    <w:rsid w:val="00925327"/>
    <w:rsid w:val="00930D94"/>
    <w:rsid w:val="00943F1E"/>
    <w:rsid w:val="009505FD"/>
    <w:rsid w:val="00962B73"/>
    <w:rsid w:val="009666A2"/>
    <w:rsid w:val="009757A0"/>
    <w:rsid w:val="009766B5"/>
    <w:rsid w:val="00976C69"/>
    <w:rsid w:val="009970FD"/>
    <w:rsid w:val="009C2596"/>
    <w:rsid w:val="009D6BFD"/>
    <w:rsid w:val="009E6A81"/>
    <w:rsid w:val="009F048D"/>
    <w:rsid w:val="009F1B45"/>
    <w:rsid w:val="009F1DF6"/>
    <w:rsid w:val="00A147E2"/>
    <w:rsid w:val="00A22BFF"/>
    <w:rsid w:val="00A46602"/>
    <w:rsid w:val="00A53B06"/>
    <w:rsid w:val="00A57B97"/>
    <w:rsid w:val="00A6119B"/>
    <w:rsid w:val="00A65C86"/>
    <w:rsid w:val="00A65CF2"/>
    <w:rsid w:val="00A7704C"/>
    <w:rsid w:val="00A82061"/>
    <w:rsid w:val="00A900F2"/>
    <w:rsid w:val="00AA3B89"/>
    <w:rsid w:val="00AB6946"/>
    <w:rsid w:val="00AC3DA8"/>
    <w:rsid w:val="00AD046F"/>
    <w:rsid w:val="00AD0844"/>
    <w:rsid w:val="00B039C7"/>
    <w:rsid w:val="00B11ED7"/>
    <w:rsid w:val="00B121A9"/>
    <w:rsid w:val="00B152FE"/>
    <w:rsid w:val="00B500FF"/>
    <w:rsid w:val="00B55613"/>
    <w:rsid w:val="00B7750C"/>
    <w:rsid w:val="00B81D73"/>
    <w:rsid w:val="00B81E68"/>
    <w:rsid w:val="00B852B9"/>
    <w:rsid w:val="00B97416"/>
    <w:rsid w:val="00B97587"/>
    <w:rsid w:val="00BA023F"/>
    <w:rsid w:val="00BB5270"/>
    <w:rsid w:val="00BB76C2"/>
    <w:rsid w:val="00BD05B7"/>
    <w:rsid w:val="00BD3715"/>
    <w:rsid w:val="00BD45B6"/>
    <w:rsid w:val="00BF5F89"/>
    <w:rsid w:val="00BF76D2"/>
    <w:rsid w:val="00C12C36"/>
    <w:rsid w:val="00C34A27"/>
    <w:rsid w:val="00C400CC"/>
    <w:rsid w:val="00C56539"/>
    <w:rsid w:val="00C74913"/>
    <w:rsid w:val="00C7589D"/>
    <w:rsid w:val="00C83C4B"/>
    <w:rsid w:val="00CA284E"/>
    <w:rsid w:val="00CA469D"/>
    <w:rsid w:val="00CB1132"/>
    <w:rsid w:val="00CD48D0"/>
    <w:rsid w:val="00CF2383"/>
    <w:rsid w:val="00D03ED8"/>
    <w:rsid w:val="00D16E4D"/>
    <w:rsid w:val="00D27500"/>
    <w:rsid w:val="00D32D4D"/>
    <w:rsid w:val="00D37309"/>
    <w:rsid w:val="00D51E69"/>
    <w:rsid w:val="00D56FFC"/>
    <w:rsid w:val="00D57644"/>
    <w:rsid w:val="00D57CE7"/>
    <w:rsid w:val="00D6337E"/>
    <w:rsid w:val="00D65D32"/>
    <w:rsid w:val="00D706D3"/>
    <w:rsid w:val="00D72BBD"/>
    <w:rsid w:val="00D74695"/>
    <w:rsid w:val="00D91EA3"/>
    <w:rsid w:val="00DB40E3"/>
    <w:rsid w:val="00DD6388"/>
    <w:rsid w:val="00DE4A32"/>
    <w:rsid w:val="00DF182E"/>
    <w:rsid w:val="00E07241"/>
    <w:rsid w:val="00E30516"/>
    <w:rsid w:val="00E33333"/>
    <w:rsid w:val="00E51641"/>
    <w:rsid w:val="00E62793"/>
    <w:rsid w:val="00E64D19"/>
    <w:rsid w:val="00EA6367"/>
    <w:rsid w:val="00EC5483"/>
    <w:rsid w:val="00ED2582"/>
    <w:rsid w:val="00EE34D5"/>
    <w:rsid w:val="00EF0C07"/>
    <w:rsid w:val="00EF2572"/>
    <w:rsid w:val="00EF2BC0"/>
    <w:rsid w:val="00EF31E5"/>
    <w:rsid w:val="00EF3BF7"/>
    <w:rsid w:val="00EF5184"/>
    <w:rsid w:val="00F12002"/>
    <w:rsid w:val="00F14047"/>
    <w:rsid w:val="00F27B90"/>
    <w:rsid w:val="00F30F99"/>
    <w:rsid w:val="00F31060"/>
    <w:rsid w:val="00F34886"/>
    <w:rsid w:val="00F361B6"/>
    <w:rsid w:val="00F641F3"/>
    <w:rsid w:val="00F76A09"/>
    <w:rsid w:val="00F806ED"/>
    <w:rsid w:val="00F85E9F"/>
    <w:rsid w:val="00FB18E8"/>
    <w:rsid w:val="00FB72DC"/>
    <w:rsid w:val="00FB778A"/>
    <w:rsid w:val="00FD0DEB"/>
    <w:rsid w:val="00FD3E13"/>
    <w:rsid w:val="00FE377E"/>
    <w:rsid w:val="00FF060E"/>
    <w:rsid w:val="00FF2725"/>
    <w:rsid w:val="00FF54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891336A"/>
  <w15:docId w15:val="{2DC73A00-FA84-4815-92B1-7A22FF2AD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ascii="Ecofont_Spranq_eco_Sans" w:hAnsi="Ecofont_Spranq_eco_Sans" w:cs="Tahoma"/>
      <w:color w:val="00000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8D252D"/>
    <w:rPr>
      <w:color w:val="605E5C"/>
      <w:shd w:val="clear" w:color="auto" w:fill="E1DFDD"/>
    </w:rPr>
  </w:style>
  <w:style w:type="character" w:customStyle="1" w:styleId="ListLabel13">
    <w:name w:val="ListLabel 13"/>
    <w:qFormat/>
    <w:rPr>
      <w:b/>
    </w:rPr>
  </w:style>
  <w:style w:type="character" w:customStyle="1" w:styleId="ListLabel14">
    <w:name w:val="ListLabel 14"/>
    <w:qFormat/>
    <w:rPr>
      <w:b/>
      <w:i w:val="0"/>
      <w:strike w:val="0"/>
      <w:dstrike w:val="0"/>
      <w:color w:val="00000A"/>
      <w:sz w:val="24"/>
      <w:szCs w:val="20"/>
      <w:u w:val="none"/>
    </w:rPr>
  </w:style>
  <w:style w:type="character" w:customStyle="1" w:styleId="ListLabel15">
    <w:name w:val="ListLabel 15"/>
    <w:qFormat/>
    <w:rPr>
      <w:rFonts w:cs="Arial"/>
      <w:b w:val="0"/>
      <w:i w:val="0"/>
      <w:strike w:val="0"/>
      <w:dstrike w:val="0"/>
      <w:color w:val="00000A"/>
      <w:sz w:val="24"/>
      <w:szCs w:val="20"/>
    </w:rPr>
  </w:style>
  <w:style w:type="character" w:customStyle="1" w:styleId="ListLabel16">
    <w:name w:val="ListLabel 16"/>
    <w:qFormat/>
    <w:rPr>
      <w:b w:val="0"/>
    </w:rPr>
  </w:style>
  <w:style w:type="character" w:customStyle="1" w:styleId="ListLabel17">
    <w:name w:val="ListLabel 17"/>
    <w:qFormat/>
    <w:rPr>
      <w:b/>
    </w:rPr>
  </w:style>
  <w:style w:type="character" w:customStyle="1" w:styleId="ListLabel18">
    <w:name w:val="ListLabel 18"/>
    <w:qFormat/>
    <w:rPr>
      <w:b w:val="0"/>
      <w:i w:val="0"/>
      <w:strike w:val="0"/>
      <w:dstrike w:val="0"/>
      <w:color w:val="00000A"/>
      <w:sz w:val="20"/>
      <w:szCs w:val="20"/>
      <w:u w:val="none"/>
    </w:rPr>
  </w:style>
  <w:style w:type="character" w:customStyle="1" w:styleId="ListLabel19">
    <w:name w:val="ListLabel 19"/>
    <w:qFormat/>
    <w:rPr>
      <w:rFonts w:cs="Arial"/>
      <w:b w:val="0"/>
      <w:i w:val="0"/>
      <w:strike w:val="0"/>
      <w:dstrike w:val="0"/>
      <w:color w:val="00000A"/>
      <w:sz w:val="20"/>
      <w:szCs w:val="20"/>
    </w:rPr>
  </w:style>
  <w:style w:type="character" w:customStyle="1" w:styleId="ListLabel20">
    <w:name w:val="ListLabel 20"/>
    <w:qFormat/>
    <w:rPr>
      <w:b/>
    </w:rPr>
  </w:style>
  <w:style w:type="character" w:customStyle="1" w:styleId="ListLabel21">
    <w:name w:val="ListLabel 21"/>
    <w:qFormat/>
    <w:rPr>
      <w:b w:val="0"/>
      <w:i w:val="0"/>
      <w:strike w:val="0"/>
      <w:dstrike w:val="0"/>
      <w:color w:val="00000A"/>
      <w:sz w:val="20"/>
      <w:szCs w:val="20"/>
      <w:u w:val="none"/>
    </w:rPr>
  </w:style>
  <w:style w:type="character" w:customStyle="1" w:styleId="ListLabel22">
    <w:name w:val="ListLabel 22"/>
    <w:qFormat/>
    <w:rPr>
      <w:rFonts w:cs="Arial"/>
      <w:b w:val="0"/>
      <w:i w:val="0"/>
      <w:strike w:val="0"/>
      <w:dstrike w:val="0"/>
      <w:color w:val="00000A"/>
      <w:sz w:val="20"/>
      <w:szCs w:val="20"/>
    </w:rPr>
  </w:style>
  <w:style w:type="character" w:customStyle="1" w:styleId="ListLabel23">
    <w:name w:val="ListLabel 23"/>
    <w:qFormat/>
    <w:rPr>
      <w:b/>
    </w:rPr>
  </w:style>
  <w:style w:type="character" w:customStyle="1" w:styleId="ListLabel24">
    <w:name w:val="ListLabel 24"/>
    <w:qFormat/>
    <w:rPr>
      <w:b w:val="0"/>
      <w:i w:val="0"/>
      <w:strike w:val="0"/>
      <w:dstrike w:val="0"/>
      <w:color w:val="00000A"/>
      <w:sz w:val="20"/>
      <w:szCs w:val="20"/>
      <w:u w:val="none"/>
    </w:rPr>
  </w:style>
  <w:style w:type="character" w:customStyle="1" w:styleId="ListLabel25">
    <w:name w:val="ListLabel 25"/>
    <w:qFormat/>
    <w:rPr>
      <w:rFonts w:cs="Arial"/>
      <w:b w:val="0"/>
      <w:i w:val="0"/>
      <w:strike w:val="0"/>
      <w:dstrike w:val="0"/>
      <w:color w:val="00000A"/>
      <w:sz w:val="20"/>
      <w:szCs w:val="20"/>
    </w:rPr>
  </w:style>
  <w:style w:type="character" w:customStyle="1" w:styleId="ListLabel26">
    <w:name w:val="ListLabel 26"/>
    <w:qFormat/>
    <w:rPr>
      <w:b/>
      <w:color w:val="00000A"/>
    </w:rPr>
  </w:style>
  <w:style w:type="character" w:customStyle="1" w:styleId="ListLabel27">
    <w:name w:val="ListLabel 27"/>
    <w:qFormat/>
    <w:rPr>
      <w:b w:val="0"/>
      <w:i w:val="0"/>
      <w:strike w:val="0"/>
      <w:dstrike w:val="0"/>
      <w:color w:val="00000A"/>
      <w:u w:val="none"/>
      <w:effect w:val="none"/>
    </w:rPr>
  </w:style>
  <w:style w:type="character" w:customStyle="1" w:styleId="ListLabel28">
    <w:name w:val="ListLabel 28"/>
    <w:qFormat/>
    <w:rPr>
      <w:b w:val="0"/>
      <w:i w:val="0"/>
      <w:color w:val="FF0000"/>
    </w:rPr>
  </w:style>
  <w:style w:type="character" w:customStyle="1" w:styleId="ListLabel29">
    <w:name w:val="ListLabel 29"/>
    <w:qFormat/>
    <w:rPr>
      <w:b/>
      <w:color w:val="00000A"/>
    </w:rPr>
  </w:style>
  <w:style w:type="character" w:customStyle="1" w:styleId="ListLabel30">
    <w:name w:val="ListLabel 30"/>
    <w:qFormat/>
    <w:rPr>
      <w:b w:val="0"/>
      <w:i w:val="0"/>
      <w:strike w:val="0"/>
      <w:dstrike w:val="0"/>
      <w:color w:val="00000A"/>
      <w:u w:val="none"/>
      <w:effect w:val="none"/>
    </w:rPr>
  </w:style>
  <w:style w:type="character" w:customStyle="1" w:styleId="ListLabel31">
    <w:name w:val="ListLabel 31"/>
    <w:qFormat/>
    <w:rPr>
      <w:b w:val="0"/>
      <w:i w:val="0"/>
      <w:color w:val="FF0000"/>
    </w:rPr>
  </w:style>
  <w:style w:type="character" w:customStyle="1" w:styleId="ListLabel32">
    <w:name w:val="ListLabel 32"/>
    <w:qFormat/>
    <w:rPr>
      <w:b/>
      <w:color w:val="00000A"/>
    </w:rPr>
  </w:style>
  <w:style w:type="character" w:customStyle="1" w:styleId="ListLabel33">
    <w:name w:val="ListLabel 33"/>
    <w:qFormat/>
    <w:rPr>
      <w:b w:val="0"/>
      <w:i w:val="0"/>
      <w:strike w:val="0"/>
      <w:dstrike w:val="0"/>
      <w:color w:val="00000A"/>
      <w:u w:val="none"/>
      <w:effect w:val="none"/>
    </w:rPr>
  </w:style>
  <w:style w:type="character" w:customStyle="1" w:styleId="ListLabel34">
    <w:name w:val="ListLabel 34"/>
    <w:qFormat/>
    <w:rPr>
      <w:b w:val="0"/>
      <w:i w:val="0"/>
      <w:color w:val="FF0000"/>
    </w:rPr>
  </w:style>
  <w:style w:type="character" w:customStyle="1" w:styleId="ListLabel35">
    <w:name w:val="ListLabel 35"/>
    <w:qFormat/>
    <w:rPr>
      <w:b/>
    </w:rPr>
  </w:style>
  <w:style w:type="character" w:customStyle="1" w:styleId="ListLabel36">
    <w:name w:val="ListLabel 36"/>
    <w:qFormat/>
    <w:rPr>
      <w:b w:val="0"/>
      <w:i w:val="0"/>
      <w:strike w:val="0"/>
      <w:dstrike w:val="0"/>
      <w:color w:val="00000A"/>
      <w:sz w:val="20"/>
      <w:szCs w:val="20"/>
      <w:u w:val="none"/>
    </w:rPr>
  </w:style>
  <w:style w:type="character" w:customStyle="1" w:styleId="ListLabel37">
    <w:name w:val="ListLabel 37"/>
    <w:qFormat/>
    <w:rPr>
      <w:rFonts w:cs="Arial"/>
      <w:b w:val="0"/>
      <w:i w:val="0"/>
      <w:strike w:val="0"/>
      <w:dstrike w:val="0"/>
      <w:color w:val="00000A"/>
      <w:sz w:val="20"/>
      <w:szCs w:val="20"/>
    </w:rPr>
  </w:style>
  <w:style w:type="character" w:customStyle="1" w:styleId="ListLabel38">
    <w:name w:val="ListLabel 38"/>
    <w:qFormat/>
    <w:rPr>
      <w:b/>
      <w:i w:val="0"/>
    </w:rPr>
  </w:style>
  <w:style w:type="character" w:customStyle="1" w:styleId="ListLabel39">
    <w:name w:val="ListLabel 39"/>
    <w:qFormat/>
    <w:rPr>
      <w:b w:val="0"/>
      <w:i w:val="0"/>
    </w:rPr>
  </w:style>
  <w:style w:type="character" w:customStyle="1" w:styleId="ListLabel40">
    <w:name w:val="ListLabel 40"/>
    <w:qFormat/>
    <w:rPr>
      <w:b/>
      <w:i w:val="0"/>
    </w:rPr>
  </w:style>
  <w:style w:type="character" w:customStyle="1" w:styleId="ListLabel41">
    <w:name w:val="ListLabel 41"/>
    <w:qFormat/>
    <w:rPr>
      <w:b/>
      <w:i w:val="0"/>
    </w:rPr>
  </w:style>
  <w:style w:type="character" w:customStyle="1" w:styleId="ListLabel42">
    <w:name w:val="ListLabel 42"/>
    <w:qFormat/>
    <w:rPr>
      <w:b w:val="0"/>
      <w:i w:val="0"/>
    </w:rPr>
  </w:style>
  <w:style w:type="character" w:customStyle="1" w:styleId="ListLabel43">
    <w:name w:val="ListLabel 43"/>
    <w:qFormat/>
    <w:rPr>
      <w:b w:val="0"/>
    </w:rPr>
  </w:style>
  <w:style w:type="character" w:customStyle="1" w:styleId="ListLabel44">
    <w:name w:val="ListLabel 44"/>
    <w:qFormat/>
    <w:rPr>
      <w:b w:val="0"/>
      <w:i w:val="0"/>
    </w:rPr>
  </w:style>
  <w:style w:type="character" w:customStyle="1" w:styleId="ListLabel45">
    <w:name w:val="ListLabel 45"/>
    <w:qFormat/>
    <w:rPr>
      <w:b w:val="0"/>
    </w:rPr>
  </w:style>
  <w:style w:type="character" w:customStyle="1" w:styleId="ListLabel46">
    <w:name w:val="ListLabel 46"/>
    <w:qFormat/>
    <w:rPr>
      <w:i w:val="0"/>
    </w:rPr>
  </w:style>
  <w:style w:type="character" w:customStyle="1" w:styleId="ListLabel47">
    <w:name w:val="ListLabel 47"/>
    <w:qFormat/>
    <w:rPr>
      <w:i w:val="0"/>
    </w:rPr>
  </w:style>
  <w:style w:type="character" w:customStyle="1" w:styleId="ListLabel48">
    <w:name w:val="ListLabel 48"/>
    <w:qFormat/>
    <w:rPr>
      <w:b/>
    </w:rPr>
  </w:style>
  <w:style w:type="character" w:customStyle="1" w:styleId="ListLabel49">
    <w:name w:val="ListLabel 49"/>
    <w:qFormat/>
    <w:rPr>
      <w:b w:val="0"/>
      <w:i w:val="0"/>
      <w:strike w:val="0"/>
      <w:dstrike w:val="0"/>
      <w:color w:val="00000A"/>
      <w:sz w:val="20"/>
      <w:szCs w:val="20"/>
      <w:u w:val="none"/>
    </w:rPr>
  </w:style>
  <w:style w:type="character" w:customStyle="1" w:styleId="ListLabel50">
    <w:name w:val="ListLabel 50"/>
    <w:qFormat/>
    <w:rPr>
      <w:rFonts w:cs="Arial"/>
      <w:b w:val="0"/>
      <w:i w:val="0"/>
      <w:strike w:val="0"/>
      <w:dstrike w:val="0"/>
      <w:color w:val="00000A"/>
      <w:sz w:val="20"/>
      <w:szCs w:val="20"/>
    </w:rPr>
  </w:style>
  <w:style w:type="character" w:customStyle="1" w:styleId="ListLabel51">
    <w:name w:val="ListLabel 51"/>
    <w:qFormat/>
    <w:rPr>
      <w:b/>
      <w:i w:val="0"/>
    </w:rPr>
  </w:style>
  <w:style w:type="character" w:customStyle="1" w:styleId="ListLabel52">
    <w:name w:val="ListLabel 52"/>
    <w:qFormat/>
    <w:rPr>
      <w:b w:val="0"/>
      <w:i w:val="0"/>
      <w:color w:val="00000A"/>
      <w:sz w:val="20"/>
      <w:szCs w:val="20"/>
    </w:rPr>
  </w:style>
  <w:style w:type="character" w:customStyle="1" w:styleId="ListLabel53">
    <w:name w:val="ListLabel 53"/>
    <w:qFormat/>
    <w:rPr>
      <w:b w:val="0"/>
      <w:i w:val="0"/>
      <w:color w:val="00000A"/>
      <w:sz w:val="20"/>
      <w:szCs w:val="20"/>
    </w:rPr>
  </w:style>
  <w:style w:type="character" w:customStyle="1" w:styleId="ListLabel54">
    <w:name w:val="ListLabel 54"/>
    <w:qFormat/>
    <w:rPr>
      <w:b w:val="0"/>
      <w:i w:val="0"/>
    </w:rPr>
  </w:style>
  <w:style w:type="character" w:customStyle="1" w:styleId="ListLabel55">
    <w:name w:val="ListLabel 55"/>
    <w:qFormat/>
    <w:rPr>
      <w:b/>
      <w:i w:val="0"/>
    </w:rPr>
  </w:style>
  <w:style w:type="character" w:customStyle="1" w:styleId="ListLabel56">
    <w:name w:val="ListLabel 56"/>
    <w:qFormat/>
    <w:rPr>
      <w:b/>
    </w:rPr>
  </w:style>
  <w:style w:type="character" w:customStyle="1" w:styleId="ListLabel57">
    <w:name w:val="ListLabel 57"/>
    <w:qFormat/>
    <w:rPr>
      <w:b w:val="0"/>
      <w:i w:val="0"/>
      <w:strike w:val="0"/>
      <w:dstrike w:val="0"/>
      <w:color w:val="00000A"/>
      <w:sz w:val="20"/>
      <w:szCs w:val="20"/>
      <w:u w:val="none"/>
    </w:rPr>
  </w:style>
  <w:style w:type="character" w:customStyle="1" w:styleId="ListLabel58">
    <w:name w:val="ListLabel 58"/>
    <w:qFormat/>
    <w:rPr>
      <w:rFonts w:cs="Arial"/>
      <w:b w:val="0"/>
      <w:i w:val="0"/>
      <w:strike w:val="0"/>
      <w:dstrike w:val="0"/>
      <w:color w:val="00000A"/>
      <w:sz w:val="20"/>
      <w:szCs w:val="20"/>
    </w:rPr>
  </w:style>
  <w:style w:type="character" w:customStyle="1" w:styleId="ListLabel59">
    <w:name w:val="ListLabel 59"/>
    <w:qFormat/>
    <w:rPr>
      <w:b/>
    </w:rPr>
  </w:style>
  <w:style w:type="character" w:customStyle="1" w:styleId="ListLabel60">
    <w:name w:val="ListLabel 60"/>
    <w:qFormat/>
    <w:rPr>
      <w:b w:val="0"/>
      <w:i w:val="0"/>
      <w:strike w:val="0"/>
      <w:dstrike w:val="0"/>
      <w:color w:val="00000A"/>
      <w:sz w:val="20"/>
      <w:szCs w:val="20"/>
      <w:u w:val="none"/>
    </w:rPr>
  </w:style>
  <w:style w:type="character" w:customStyle="1" w:styleId="ListLabel61">
    <w:name w:val="ListLabel 61"/>
    <w:qFormat/>
    <w:rPr>
      <w:rFonts w:cs="Arial"/>
      <w:b w:val="0"/>
      <w:i w:val="0"/>
      <w:strike w:val="0"/>
      <w:dstrike w:val="0"/>
      <w:color w:val="00000A"/>
      <w:sz w:val="20"/>
      <w:szCs w:val="20"/>
    </w:rPr>
  </w:style>
  <w:style w:type="character" w:customStyle="1" w:styleId="ListLabel62">
    <w:name w:val="ListLabel 62"/>
    <w:qFormat/>
    <w:rPr>
      <w:b/>
    </w:rPr>
  </w:style>
  <w:style w:type="character" w:customStyle="1" w:styleId="ListLabel63">
    <w:name w:val="ListLabel 63"/>
    <w:qFormat/>
    <w:rPr>
      <w:b w:val="0"/>
      <w:i w:val="0"/>
      <w:strike w:val="0"/>
      <w:dstrike w:val="0"/>
      <w:color w:val="00000A"/>
      <w:sz w:val="20"/>
      <w:szCs w:val="20"/>
      <w:u w:val="none"/>
    </w:rPr>
  </w:style>
  <w:style w:type="character" w:customStyle="1" w:styleId="ListLabel64">
    <w:name w:val="ListLabel 64"/>
    <w:qFormat/>
    <w:rPr>
      <w:rFonts w:cs="Arial"/>
      <w:b w:val="0"/>
      <w:i w:val="0"/>
      <w:strike w:val="0"/>
      <w:dstrike w:val="0"/>
      <w:color w:val="00000A"/>
      <w:sz w:val="20"/>
      <w:szCs w:val="20"/>
    </w:rPr>
  </w:style>
  <w:style w:type="character" w:customStyle="1" w:styleId="ListLabel65">
    <w:name w:val="ListLabel 65"/>
    <w:qFormat/>
    <w:rPr>
      <w:b/>
    </w:rPr>
  </w:style>
  <w:style w:type="character" w:customStyle="1" w:styleId="ListLabel66">
    <w:name w:val="ListLabel 66"/>
    <w:qFormat/>
    <w:rPr>
      <w:b w:val="0"/>
      <w:i w:val="0"/>
      <w:strike w:val="0"/>
      <w:dstrike w:val="0"/>
      <w:color w:val="00000A"/>
      <w:sz w:val="20"/>
      <w:szCs w:val="20"/>
      <w:u w:val="none"/>
    </w:rPr>
  </w:style>
  <w:style w:type="character" w:customStyle="1" w:styleId="ListLabel67">
    <w:name w:val="ListLabel 67"/>
    <w:qFormat/>
    <w:rPr>
      <w:rFonts w:cs="Arial"/>
      <w:b w:val="0"/>
      <w:i w:val="0"/>
      <w:strike w:val="0"/>
      <w:dstrike w:val="0"/>
      <w:color w:val="00000A"/>
      <w:sz w:val="20"/>
      <w:szCs w:val="20"/>
    </w:rPr>
  </w:style>
  <w:style w:type="character" w:customStyle="1" w:styleId="ListLabel68">
    <w:name w:val="ListLabel 68"/>
    <w:qFormat/>
    <w:rPr>
      <w:b/>
      <w:color w:val="00000A"/>
    </w:rPr>
  </w:style>
  <w:style w:type="character" w:customStyle="1" w:styleId="ListLabel69">
    <w:name w:val="ListLabel 69"/>
    <w:qFormat/>
    <w:rPr>
      <w:b w:val="0"/>
      <w:i w:val="0"/>
      <w:strike w:val="0"/>
      <w:dstrike w:val="0"/>
      <w:color w:val="00000A"/>
      <w:u w:val="none"/>
      <w:effect w:val="none"/>
    </w:rPr>
  </w:style>
  <w:style w:type="character" w:customStyle="1" w:styleId="ListLabel70">
    <w:name w:val="ListLabel 70"/>
    <w:qFormat/>
    <w:rPr>
      <w:b w:val="0"/>
      <w:i w:val="0"/>
      <w:color w:val="FF0000"/>
    </w:rPr>
  </w:style>
  <w:style w:type="character" w:customStyle="1" w:styleId="ListLabel71">
    <w:name w:val="ListLabel 71"/>
    <w:qFormat/>
    <w:rPr>
      <w:rFonts w:cs="Arial"/>
      <w:b w:val="0"/>
      <w:i w:val="0"/>
      <w:color w:val="000000"/>
      <w:sz w:val="24"/>
      <w:szCs w:val="24"/>
    </w:rPr>
  </w:style>
  <w:style w:type="character" w:customStyle="1" w:styleId="ListLabel72">
    <w:name w:val="ListLabel 72"/>
    <w:qFormat/>
    <w:rPr>
      <w:sz w:val="24"/>
      <w:szCs w:val="24"/>
    </w:rPr>
  </w:style>
  <w:style w:type="character" w:customStyle="1" w:styleId="ListLabel73">
    <w:name w:val="ListLabel 73"/>
    <w:qFormat/>
    <w:rPr>
      <w:rFonts w:ascii="Calibri" w:hAnsi="Calibri"/>
      <w:b/>
      <w:sz w:val="24"/>
    </w:rPr>
  </w:style>
  <w:style w:type="character" w:customStyle="1" w:styleId="ListLabel74">
    <w:name w:val="ListLabel 74"/>
    <w:qFormat/>
    <w:rPr>
      <w:rFonts w:ascii="Calibri" w:hAnsi="Calibri"/>
      <w:b/>
      <w:i w:val="0"/>
      <w:strike w:val="0"/>
      <w:dstrike w:val="0"/>
      <w:color w:val="00000A"/>
      <w:sz w:val="24"/>
      <w:szCs w:val="20"/>
      <w:u w:val="none"/>
    </w:rPr>
  </w:style>
  <w:style w:type="character" w:customStyle="1" w:styleId="ListLabel75">
    <w:name w:val="ListLabel 75"/>
    <w:qFormat/>
    <w:rPr>
      <w:rFonts w:ascii="Calibri" w:hAnsi="Calibri" w:cs="Arial"/>
      <w:b w:val="0"/>
      <w:i w:val="0"/>
      <w:strike w:val="0"/>
      <w:dstrike w:val="0"/>
      <w:color w:val="00000A"/>
      <w:sz w:val="24"/>
      <w:szCs w:val="20"/>
    </w:rPr>
  </w:style>
  <w:style w:type="character" w:customStyle="1" w:styleId="ListLabel76">
    <w:name w:val="ListLabel 76"/>
    <w:qFormat/>
    <w:rPr>
      <w:rFonts w:ascii="Calibri" w:hAnsi="Calibri"/>
      <w:b/>
      <w:sz w:val="24"/>
    </w:rPr>
  </w:style>
  <w:style w:type="character" w:customStyle="1" w:styleId="ListLabel77">
    <w:name w:val="ListLabel 77"/>
    <w:qFormat/>
    <w:rPr>
      <w:b w:val="0"/>
      <w:i w:val="0"/>
      <w:strike w:val="0"/>
      <w:dstrike w:val="0"/>
      <w:color w:val="00000A"/>
      <w:sz w:val="20"/>
      <w:szCs w:val="20"/>
      <w:u w:val="none"/>
    </w:rPr>
  </w:style>
  <w:style w:type="character" w:customStyle="1" w:styleId="ListLabel78">
    <w:name w:val="ListLabel 78"/>
    <w:qFormat/>
    <w:rPr>
      <w:rFonts w:cs="Arial"/>
      <w:b w:val="0"/>
      <w:i w:val="0"/>
      <w:strike w:val="0"/>
      <w:dstrike w:val="0"/>
      <w:color w:val="00000A"/>
      <w:sz w:val="20"/>
      <w:szCs w:val="20"/>
    </w:rPr>
  </w:style>
  <w:style w:type="character" w:customStyle="1" w:styleId="ListLabel79">
    <w:name w:val="ListLabel 79"/>
    <w:qFormat/>
    <w:rPr>
      <w:rFonts w:cs="Arial"/>
      <w:b w:val="0"/>
      <w:i w:val="0"/>
      <w:color w:val="000000"/>
      <w:sz w:val="24"/>
      <w:szCs w:val="24"/>
    </w:rPr>
  </w:style>
  <w:style w:type="character" w:customStyle="1" w:styleId="ListLabel80">
    <w:name w:val="ListLabel 80"/>
    <w:qFormat/>
    <w:rPr>
      <w:sz w:val="24"/>
      <w:szCs w:val="24"/>
    </w:rPr>
  </w:style>
  <w:style w:type="character" w:customStyle="1" w:styleId="ListLabel81">
    <w:name w:val="ListLabel 81"/>
    <w:qFormat/>
    <w:rPr>
      <w:rFonts w:ascii="Calibri" w:hAnsi="Calibri"/>
      <w:b/>
      <w:sz w:val="24"/>
    </w:rPr>
  </w:style>
  <w:style w:type="character" w:customStyle="1" w:styleId="ListLabel82">
    <w:name w:val="ListLabel 82"/>
    <w:qFormat/>
    <w:rPr>
      <w:rFonts w:ascii="Calibri" w:hAnsi="Calibri"/>
      <w:b/>
      <w:i w:val="0"/>
      <w:strike w:val="0"/>
      <w:dstrike w:val="0"/>
      <w:color w:val="00000A"/>
      <w:sz w:val="24"/>
      <w:szCs w:val="20"/>
      <w:u w:val="none"/>
    </w:rPr>
  </w:style>
  <w:style w:type="character" w:customStyle="1" w:styleId="ListLabel83">
    <w:name w:val="ListLabel 83"/>
    <w:qFormat/>
    <w:rPr>
      <w:rFonts w:ascii="Calibri" w:hAnsi="Calibri" w:cs="Arial"/>
      <w:b w:val="0"/>
      <w:i w:val="0"/>
      <w:strike w:val="0"/>
      <w:dstrike w:val="0"/>
      <w:color w:val="00000A"/>
      <w:sz w:val="24"/>
      <w:szCs w:val="20"/>
    </w:rPr>
  </w:style>
  <w:style w:type="character" w:customStyle="1" w:styleId="ListLabel84">
    <w:name w:val="ListLabel 84"/>
    <w:qFormat/>
    <w:rPr>
      <w:rFonts w:ascii="Calibri" w:hAnsi="Calibri"/>
      <w:b/>
      <w:sz w:val="24"/>
    </w:rPr>
  </w:style>
  <w:style w:type="character" w:customStyle="1" w:styleId="ListLabel85">
    <w:name w:val="ListLabel 85"/>
    <w:qFormat/>
    <w:rPr>
      <w:b w:val="0"/>
      <w:i w:val="0"/>
      <w:strike w:val="0"/>
      <w:dstrike w:val="0"/>
      <w:color w:val="00000A"/>
      <w:sz w:val="20"/>
      <w:szCs w:val="20"/>
      <w:u w:val="none"/>
    </w:rPr>
  </w:style>
  <w:style w:type="character" w:customStyle="1" w:styleId="ListLabel86">
    <w:name w:val="ListLabel 86"/>
    <w:qFormat/>
    <w:rPr>
      <w:rFonts w:cs="Arial"/>
      <w:b w:val="0"/>
      <w:i w:val="0"/>
      <w:strike w:val="0"/>
      <w:dstrike w:val="0"/>
      <w:color w:val="00000A"/>
      <w:sz w:val="20"/>
      <w:szCs w:val="20"/>
    </w:rPr>
  </w:style>
  <w:style w:type="character" w:customStyle="1" w:styleId="ListLabel87">
    <w:name w:val="ListLabel 87"/>
    <w:qFormat/>
    <w:rPr>
      <w:rFonts w:cs="Arial"/>
      <w:b w:val="0"/>
      <w:i w:val="0"/>
      <w:color w:val="000000"/>
      <w:sz w:val="24"/>
      <w:szCs w:val="24"/>
    </w:rPr>
  </w:style>
  <w:style w:type="character" w:customStyle="1" w:styleId="ListLabel88">
    <w:name w:val="ListLabel 88"/>
    <w:qFormat/>
    <w:rPr>
      <w:sz w:val="24"/>
      <w:szCs w:val="24"/>
    </w:rPr>
  </w:style>
  <w:style w:type="character" w:customStyle="1" w:styleId="nfaseforte">
    <w:name w:val="Ênfase forte"/>
    <w:qFormat/>
    <w:rPr>
      <w:b/>
      <w:bCs/>
    </w:rPr>
  </w:style>
  <w:style w:type="character" w:customStyle="1" w:styleId="ListLabel89">
    <w:name w:val="ListLabel 89"/>
    <w:qFormat/>
    <w:rPr>
      <w:rFonts w:ascii="Calibri" w:hAnsi="Calibri"/>
      <w:b/>
      <w:sz w:val="24"/>
    </w:rPr>
  </w:style>
  <w:style w:type="character" w:customStyle="1" w:styleId="ListLabel90">
    <w:name w:val="ListLabel 90"/>
    <w:qFormat/>
    <w:rPr>
      <w:rFonts w:ascii="Calibri" w:hAnsi="Calibri"/>
      <w:b/>
      <w:i w:val="0"/>
      <w:strike w:val="0"/>
      <w:dstrike w:val="0"/>
      <w:color w:val="00000A"/>
      <w:sz w:val="24"/>
      <w:szCs w:val="20"/>
      <w:u w:val="none"/>
    </w:rPr>
  </w:style>
  <w:style w:type="character" w:customStyle="1" w:styleId="ListLabel91">
    <w:name w:val="ListLabel 91"/>
    <w:qFormat/>
    <w:rPr>
      <w:rFonts w:ascii="Calibri" w:hAnsi="Calibri" w:cs="Arial"/>
      <w:b w:val="0"/>
      <w:i w:val="0"/>
      <w:strike w:val="0"/>
      <w:dstrike w:val="0"/>
      <w:color w:val="00000A"/>
      <w:sz w:val="24"/>
      <w:szCs w:val="20"/>
    </w:rPr>
  </w:style>
  <w:style w:type="character" w:customStyle="1" w:styleId="ListLabel92">
    <w:name w:val="ListLabel 92"/>
    <w:qFormat/>
    <w:rPr>
      <w:rFonts w:ascii="Calibri" w:hAnsi="Calibri"/>
      <w:b/>
      <w:sz w:val="24"/>
    </w:rPr>
  </w:style>
  <w:style w:type="character" w:customStyle="1" w:styleId="ListLabel93">
    <w:name w:val="ListLabel 93"/>
    <w:qFormat/>
    <w:rPr>
      <w:b w:val="0"/>
      <w:i w:val="0"/>
      <w:strike w:val="0"/>
      <w:dstrike w:val="0"/>
      <w:color w:val="00000A"/>
      <w:sz w:val="20"/>
      <w:szCs w:val="20"/>
      <w:u w:val="none"/>
    </w:rPr>
  </w:style>
  <w:style w:type="character" w:customStyle="1" w:styleId="ListLabel94">
    <w:name w:val="ListLabel 94"/>
    <w:qFormat/>
    <w:rPr>
      <w:rFonts w:cs="Arial"/>
      <w:b w:val="0"/>
      <w:i w:val="0"/>
      <w:strike w:val="0"/>
      <w:dstrike w:val="0"/>
      <w:color w:val="00000A"/>
      <w:sz w:val="20"/>
      <w:szCs w:val="20"/>
    </w:rPr>
  </w:style>
  <w:style w:type="character" w:customStyle="1" w:styleId="ListLabel95">
    <w:name w:val="ListLabel 95"/>
    <w:qFormat/>
    <w:rPr>
      <w:rFonts w:cs="Arial"/>
      <w:b w:val="0"/>
      <w:i w:val="0"/>
      <w:color w:val="000000"/>
      <w:sz w:val="24"/>
      <w:szCs w:val="24"/>
    </w:rPr>
  </w:style>
  <w:style w:type="character" w:customStyle="1" w:styleId="ListLabel96">
    <w:name w:val="ListLabel 96"/>
    <w:qFormat/>
    <w:rPr>
      <w:sz w:val="24"/>
      <w:szCs w:val="24"/>
    </w:rPr>
  </w:style>
  <w:style w:type="character" w:customStyle="1" w:styleId="ListLabel97">
    <w:name w:val="ListLabel 97"/>
    <w:qFormat/>
    <w:rPr>
      <w:rFonts w:ascii="Calibri" w:hAnsi="Calibri"/>
      <w:b/>
      <w:sz w:val="24"/>
    </w:rPr>
  </w:style>
  <w:style w:type="character" w:customStyle="1" w:styleId="ListLabel98">
    <w:name w:val="ListLabel 98"/>
    <w:qFormat/>
    <w:rPr>
      <w:rFonts w:ascii="Calibri" w:hAnsi="Calibri"/>
      <w:b/>
      <w:i w:val="0"/>
      <w:strike w:val="0"/>
      <w:dstrike w:val="0"/>
      <w:color w:val="00000A"/>
      <w:sz w:val="24"/>
      <w:szCs w:val="20"/>
      <w:u w:val="none"/>
    </w:rPr>
  </w:style>
  <w:style w:type="character" w:customStyle="1" w:styleId="ListLabel99">
    <w:name w:val="ListLabel 99"/>
    <w:qFormat/>
    <w:rPr>
      <w:rFonts w:ascii="Calibri" w:hAnsi="Calibri" w:cs="Arial"/>
      <w:b w:val="0"/>
      <w:i w:val="0"/>
      <w:strike w:val="0"/>
      <w:dstrike w:val="0"/>
      <w:color w:val="00000A"/>
      <w:sz w:val="24"/>
      <w:szCs w:val="20"/>
    </w:rPr>
  </w:style>
  <w:style w:type="character" w:customStyle="1" w:styleId="ListLabel100">
    <w:name w:val="ListLabel 100"/>
    <w:qFormat/>
    <w:rPr>
      <w:rFonts w:ascii="Calibri" w:hAnsi="Calibri"/>
      <w:b/>
      <w:sz w:val="24"/>
    </w:rPr>
  </w:style>
  <w:style w:type="character" w:customStyle="1" w:styleId="ListLabel101">
    <w:name w:val="ListLabel 101"/>
    <w:qFormat/>
    <w:rPr>
      <w:b w:val="0"/>
      <w:i w:val="0"/>
      <w:strike w:val="0"/>
      <w:dstrike w:val="0"/>
      <w:color w:val="00000A"/>
      <w:sz w:val="20"/>
      <w:szCs w:val="20"/>
      <w:u w:val="none"/>
    </w:rPr>
  </w:style>
  <w:style w:type="character" w:customStyle="1" w:styleId="ListLabel102">
    <w:name w:val="ListLabel 102"/>
    <w:qFormat/>
    <w:rPr>
      <w:rFonts w:cs="Arial"/>
      <w:b w:val="0"/>
      <w:i w:val="0"/>
      <w:strike w:val="0"/>
      <w:dstrike w:val="0"/>
      <w:color w:val="00000A"/>
      <w:sz w:val="20"/>
      <w:szCs w:val="20"/>
    </w:rPr>
  </w:style>
  <w:style w:type="character" w:customStyle="1" w:styleId="ListLabel103">
    <w:name w:val="ListLabel 103"/>
    <w:qFormat/>
    <w:rPr>
      <w:rFonts w:cs="Arial"/>
      <w:b w:val="0"/>
      <w:i w:val="0"/>
      <w:color w:val="000000"/>
      <w:sz w:val="24"/>
      <w:szCs w:val="24"/>
    </w:rPr>
  </w:style>
  <w:style w:type="character" w:customStyle="1" w:styleId="ListLabel104">
    <w:name w:val="ListLabel 104"/>
    <w:qFormat/>
    <w:rPr>
      <w:sz w:val="24"/>
      <w:szCs w:val="24"/>
    </w:rPr>
  </w:style>
  <w:style w:type="character" w:customStyle="1" w:styleId="ListLabel105">
    <w:name w:val="ListLabel 105"/>
    <w:qFormat/>
    <w:rPr>
      <w:rFonts w:ascii="Calibri" w:hAnsi="Calibri"/>
      <w:b/>
      <w:sz w:val="24"/>
    </w:rPr>
  </w:style>
  <w:style w:type="character" w:customStyle="1" w:styleId="ListLabel106">
    <w:name w:val="ListLabel 106"/>
    <w:qFormat/>
    <w:rPr>
      <w:rFonts w:ascii="Calibri" w:hAnsi="Calibri"/>
      <w:b/>
      <w:i w:val="0"/>
      <w:strike w:val="0"/>
      <w:dstrike w:val="0"/>
      <w:color w:val="00000A"/>
      <w:sz w:val="24"/>
      <w:szCs w:val="20"/>
      <w:u w:val="none"/>
    </w:rPr>
  </w:style>
  <w:style w:type="character" w:customStyle="1" w:styleId="ListLabel107">
    <w:name w:val="ListLabel 107"/>
    <w:qFormat/>
    <w:rPr>
      <w:rFonts w:ascii="Calibri" w:hAnsi="Calibri" w:cs="Arial"/>
      <w:b w:val="0"/>
      <w:i w:val="0"/>
      <w:strike w:val="0"/>
      <w:dstrike w:val="0"/>
      <w:color w:val="00000A"/>
      <w:sz w:val="24"/>
      <w:szCs w:val="20"/>
    </w:rPr>
  </w:style>
  <w:style w:type="character" w:customStyle="1" w:styleId="ListLabel108">
    <w:name w:val="ListLabel 108"/>
    <w:qFormat/>
    <w:rPr>
      <w:rFonts w:ascii="Calibri" w:hAnsi="Calibri"/>
      <w:b/>
      <w:sz w:val="24"/>
    </w:rPr>
  </w:style>
  <w:style w:type="character" w:customStyle="1" w:styleId="ListLabel109">
    <w:name w:val="ListLabel 109"/>
    <w:qFormat/>
    <w:rPr>
      <w:b w:val="0"/>
      <w:i w:val="0"/>
      <w:strike w:val="0"/>
      <w:dstrike w:val="0"/>
      <w:color w:val="00000A"/>
      <w:sz w:val="20"/>
      <w:szCs w:val="20"/>
      <w:u w:val="none"/>
    </w:rPr>
  </w:style>
  <w:style w:type="character" w:customStyle="1" w:styleId="ListLabel110">
    <w:name w:val="ListLabel 110"/>
    <w:qFormat/>
    <w:rPr>
      <w:rFonts w:cs="Arial"/>
      <w:b w:val="0"/>
      <w:i w:val="0"/>
      <w:strike w:val="0"/>
      <w:dstrike w:val="0"/>
      <w:color w:val="00000A"/>
      <w:sz w:val="20"/>
      <w:szCs w:val="20"/>
    </w:rPr>
  </w:style>
  <w:style w:type="character" w:customStyle="1" w:styleId="ListLabel111">
    <w:name w:val="ListLabel 111"/>
    <w:qFormat/>
    <w:rPr>
      <w:rFonts w:cs="Arial"/>
      <w:b w:val="0"/>
      <w:i w:val="0"/>
      <w:color w:val="000000"/>
      <w:sz w:val="24"/>
      <w:szCs w:val="24"/>
    </w:rPr>
  </w:style>
  <w:style w:type="character" w:customStyle="1" w:styleId="ListLabel112">
    <w:name w:val="ListLabel 112"/>
    <w:qFormat/>
    <w:rPr>
      <w:sz w:val="24"/>
      <w:szCs w:val="24"/>
    </w:rPr>
  </w:style>
  <w:style w:type="character" w:customStyle="1" w:styleId="ListLabel113">
    <w:name w:val="ListLabel 113"/>
    <w:qFormat/>
    <w:rPr>
      <w:rFonts w:ascii="Calibri" w:hAnsi="Calibri"/>
      <w:b/>
      <w:sz w:val="24"/>
    </w:rPr>
  </w:style>
  <w:style w:type="character" w:customStyle="1" w:styleId="ListLabel114">
    <w:name w:val="ListLabel 114"/>
    <w:qFormat/>
    <w:rPr>
      <w:rFonts w:ascii="Calibri" w:hAnsi="Calibri"/>
      <w:b/>
      <w:i w:val="0"/>
      <w:strike w:val="0"/>
      <w:dstrike w:val="0"/>
      <w:color w:val="00000A"/>
      <w:sz w:val="24"/>
      <w:szCs w:val="20"/>
      <w:u w:val="none"/>
    </w:rPr>
  </w:style>
  <w:style w:type="character" w:customStyle="1" w:styleId="ListLabel115">
    <w:name w:val="ListLabel 115"/>
    <w:qFormat/>
    <w:rPr>
      <w:rFonts w:ascii="Calibri" w:hAnsi="Calibri" w:cs="Arial"/>
      <w:b w:val="0"/>
      <w:i w:val="0"/>
      <w:strike w:val="0"/>
      <w:dstrike w:val="0"/>
      <w:color w:val="00000A"/>
      <w:sz w:val="24"/>
      <w:szCs w:val="20"/>
    </w:rPr>
  </w:style>
  <w:style w:type="character" w:customStyle="1" w:styleId="ListLabel116">
    <w:name w:val="ListLabel 116"/>
    <w:qFormat/>
    <w:rPr>
      <w:rFonts w:ascii="Calibri" w:hAnsi="Calibri"/>
      <w:b/>
      <w:sz w:val="24"/>
    </w:rPr>
  </w:style>
  <w:style w:type="character" w:customStyle="1" w:styleId="ListLabel117">
    <w:name w:val="ListLabel 117"/>
    <w:qFormat/>
    <w:rPr>
      <w:b w:val="0"/>
      <w:i w:val="0"/>
      <w:strike w:val="0"/>
      <w:dstrike w:val="0"/>
      <w:color w:val="00000A"/>
      <w:sz w:val="20"/>
      <w:szCs w:val="20"/>
      <w:u w:val="none"/>
    </w:rPr>
  </w:style>
  <w:style w:type="character" w:customStyle="1" w:styleId="ListLabel118">
    <w:name w:val="ListLabel 118"/>
    <w:qFormat/>
    <w:rPr>
      <w:rFonts w:cs="Arial"/>
      <w:b w:val="0"/>
      <w:i w:val="0"/>
      <w:strike w:val="0"/>
      <w:dstrike w:val="0"/>
      <w:color w:val="00000A"/>
      <w:sz w:val="20"/>
      <w:szCs w:val="20"/>
    </w:rPr>
  </w:style>
  <w:style w:type="character" w:customStyle="1" w:styleId="ListLabel119">
    <w:name w:val="ListLabel 119"/>
    <w:qFormat/>
    <w:rPr>
      <w:rFonts w:cs="Arial"/>
      <w:b w:val="0"/>
      <w:i w:val="0"/>
      <w:color w:val="000000"/>
      <w:sz w:val="24"/>
      <w:szCs w:val="24"/>
    </w:rPr>
  </w:style>
  <w:style w:type="character" w:customStyle="1" w:styleId="ListLabel120">
    <w:name w:val="ListLabel 120"/>
    <w:qFormat/>
    <w:rPr>
      <w:sz w:val="24"/>
      <w:szCs w:val="24"/>
    </w:rPr>
  </w:style>
  <w:style w:type="character" w:customStyle="1" w:styleId="ListLabel121">
    <w:name w:val="ListLabel 121"/>
    <w:qFormat/>
    <w:rPr>
      <w:rFonts w:ascii="Calibri" w:hAnsi="Calibri"/>
      <w:b/>
      <w:sz w:val="24"/>
    </w:rPr>
  </w:style>
  <w:style w:type="character" w:customStyle="1" w:styleId="ListLabel122">
    <w:name w:val="ListLabel 122"/>
    <w:qFormat/>
    <w:rPr>
      <w:rFonts w:ascii="Calibri" w:hAnsi="Calibri"/>
      <w:b/>
      <w:i w:val="0"/>
      <w:strike w:val="0"/>
      <w:dstrike w:val="0"/>
      <w:color w:val="00000A"/>
      <w:sz w:val="24"/>
      <w:szCs w:val="20"/>
      <w:u w:val="none"/>
    </w:rPr>
  </w:style>
  <w:style w:type="character" w:customStyle="1" w:styleId="ListLabel123">
    <w:name w:val="ListLabel 123"/>
    <w:qFormat/>
    <w:rPr>
      <w:rFonts w:ascii="Calibri" w:hAnsi="Calibri" w:cs="Arial"/>
      <w:b w:val="0"/>
      <w:i w:val="0"/>
      <w:strike w:val="0"/>
      <w:dstrike w:val="0"/>
      <w:color w:val="00000A"/>
      <w:sz w:val="24"/>
      <w:szCs w:val="20"/>
    </w:rPr>
  </w:style>
  <w:style w:type="character" w:customStyle="1" w:styleId="ListLabel124">
    <w:name w:val="ListLabel 124"/>
    <w:qFormat/>
    <w:rPr>
      <w:rFonts w:ascii="Calibri" w:hAnsi="Calibri"/>
      <w:b/>
      <w:sz w:val="24"/>
    </w:rPr>
  </w:style>
  <w:style w:type="character" w:customStyle="1" w:styleId="ListLabel125">
    <w:name w:val="ListLabel 125"/>
    <w:qFormat/>
    <w:rPr>
      <w:b w:val="0"/>
      <w:i w:val="0"/>
      <w:strike w:val="0"/>
      <w:dstrike w:val="0"/>
      <w:color w:val="00000A"/>
      <w:sz w:val="20"/>
      <w:szCs w:val="20"/>
      <w:u w:val="none"/>
    </w:rPr>
  </w:style>
  <w:style w:type="character" w:customStyle="1" w:styleId="ListLabel126">
    <w:name w:val="ListLabel 126"/>
    <w:qFormat/>
    <w:rPr>
      <w:rFonts w:cs="Arial"/>
      <w:b w:val="0"/>
      <w:i w:val="0"/>
      <w:strike w:val="0"/>
      <w:dstrike w:val="0"/>
      <w:color w:val="00000A"/>
      <w:sz w:val="20"/>
      <w:szCs w:val="20"/>
    </w:rPr>
  </w:style>
  <w:style w:type="character" w:customStyle="1" w:styleId="ListLabel127">
    <w:name w:val="ListLabel 127"/>
    <w:qFormat/>
    <w:rPr>
      <w:rFonts w:cs="Arial"/>
      <w:b w:val="0"/>
      <w:i w:val="0"/>
      <w:color w:val="000000"/>
      <w:sz w:val="24"/>
      <w:szCs w:val="24"/>
    </w:rPr>
  </w:style>
  <w:style w:type="character" w:customStyle="1" w:styleId="ListLabel128">
    <w:name w:val="ListLabel 128"/>
    <w:qFormat/>
    <w:rPr>
      <w:sz w:val="24"/>
      <w:szCs w:val="24"/>
    </w:rPr>
  </w:style>
  <w:style w:type="character" w:customStyle="1" w:styleId="ListLabel129">
    <w:name w:val="ListLabel 129"/>
    <w:qFormat/>
    <w:rPr>
      <w:rFonts w:ascii="Calibri" w:hAnsi="Calibri"/>
      <w:b/>
      <w:sz w:val="24"/>
    </w:rPr>
  </w:style>
  <w:style w:type="character" w:customStyle="1" w:styleId="ListLabel130">
    <w:name w:val="ListLabel 130"/>
    <w:qFormat/>
    <w:rPr>
      <w:rFonts w:ascii="Calibri" w:hAnsi="Calibri"/>
      <w:b/>
      <w:i w:val="0"/>
      <w:strike w:val="0"/>
      <w:dstrike w:val="0"/>
      <w:color w:val="00000A"/>
      <w:sz w:val="24"/>
      <w:szCs w:val="20"/>
      <w:u w:val="none"/>
    </w:rPr>
  </w:style>
  <w:style w:type="character" w:customStyle="1" w:styleId="ListLabel131">
    <w:name w:val="ListLabel 131"/>
    <w:qFormat/>
    <w:rPr>
      <w:rFonts w:ascii="Calibri" w:hAnsi="Calibri" w:cs="Arial"/>
      <w:b w:val="0"/>
      <w:i w:val="0"/>
      <w:strike w:val="0"/>
      <w:dstrike w:val="0"/>
      <w:color w:val="00000A"/>
      <w:sz w:val="24"/>
      <w:szCs w:val="20"/>
    </w:rPr>
  </w:style>
  <w:style w:type="character" w:customStyle="1" w:styleId="ListLabel132">
    <w:name w:val="ListLabel 132"/>
    <w:qFormat/>
    <w:rPr>
      <w:rFonts w:ascii="Calibri" w:hAnsi="Calibri"/>
      <w:b/>
      <w:sz w:val="24"/>
    </w:rPr>
  </w:style>
  <w:style w:type="character" w:customStyle="1" w:styleId="ListLabel133">
    <w:name w:val="ListLabel 133"/>
    <w:qFormat/>
    <w:rPr>
      <w:b w:val="0"/>
      <w:i w:val="0"/>
      <w:strike w:val="0"/>
      <w:dstrike w:val="0"/>
      <w:color w:val="00000A"/>
      <w:sz w:val="20"/>
      <w:szCs w:val="20"/>
      <w:u w:val="none"/>
    </w:rPr>
  </w:style>
  <w:style w:type="character" w:customStyle="1" w:styleId="ListLabel134">
    <w:name w:val="ListLabel 134"/>
    <w:qFormat/>
    <w:rPr>
      <w:rFonts w:cs="Arial"/>
      <w:b w:val="0"/>
      <w:i w:val="0"/>
      <w:strike w:val="0"/>
      <w:dstrike w:val="0"/>
      <w:color w:val="00000A"/>
      <w:sz w:val="20"/>
      <w:szCs w:val="20"/>
    </w:rPr>
  </w:style>
  <w:style w:type="character" w:customStyle="1" w:styleId="ListLabel135">
    <w:name w:val="ListLabel 135"/>
    <w:qFormat/>
    <w:rPr>
      <w:rFonts w:cs="Arial"/>
      <w:b w:val="0"/>
      <w:i w:val="0"/>
      <w:color w:val="000000"/>
      <w:sz w:val="24"/>
      <w:szCs w:val="24"/>
    </w:rPr>
  </w:style>
  <w:style w:type="character" w:customStyle="1" w:styleId="ListLabel136">
    <w:name w:val="ListLabel 136"/>
    <w:qFormat/>
    <w:rPr>
      <w:sz w:val="24"/>
      <w:szCs w:val="24"/>
    </w:rPr>
  </w:style>
  <w:style w:type="character" w:customStyle="1" w:styleId="ListLabel137">
    <w:name w:val="ListLabel 137"/>
    <w:qFormat/>
    <w:rPr>
      <w:rFonts w:ascii="Calibri" w:hAnsi="Calibri"/>
      <w:b/>
      <w:sz w:val="24"/>
    </w:rPr>
  </w:style>
  <w:style w:type="character" w:customStyle="1" w:styleId="ListLabel138">
    <w:name w:val="ListLabel 138"/>
    <w:qFormat/>
    <w:rPr>
      <w:rFonts w:ascii="Calibri" w:hAnsi="Calibri"/>
      <w:b/>
      <w:i w:val="0"/>
      <w:strike w:val="0"/>
      <w:dstrike w:val="0"/>
      <w:color w:val="00000A"/>
      <w:sz w:val="24"/>
      <w:szCs w:val="20"/>
      <w:u w:val="none"/>
    </w:rPr>
  </w:style>
  <w:style w:type="character" w:customStyle="1" w:styleId="ListLabel139">
    <w:name w:val="ListLabel 139"/>
    <w:qFormat/>
    <w:rPr>
      <w:rFonts w:ascii="Calibri" w:hAnsi="Calibri" w:cs="Arial"/>
      <w:b w:val="0"/>
      <w:i w:val="0"/>
      <w:strike w:val="0"/>
      <w:dstrike w:val="0"/>
      <w:color w:val="00000A"/>
      <w:sz w:val="24"/>
      <w:szCs w:val="20"/>
    </w:rPr>
  </w:style>
  <w:style w:type="character" w:customStyle="1" w:styleId="ListLabel140">
    <w:name w:val="ListLabel 140"/>
    <w:qFormat/>
    <w:rPr>
      <w:rFonts w:ascii="Calibri" w:hAnsi="Calibri"/>
      <w:b/>
      <w:sz w:val="24"/>
    </w:rPr>
  </w:style>
  <w:style w:type="character" w:customStyle="1" w:styleId="ListLabel141">
    <w:name w:val="ListLabel 141"/>
    <w:qFormat/>
    <w:rPr>
      <w:b w:val="0"/>
      <w:i w:val="0"/>
      <w:strike w:val="0"/>
      <w:dstrike w:val="0"/>
      <w:color w:val="00000A"/>
      <w:sz w:val="20"/>
      <w:szCs w:val="20"/>
      <w:u w:val="none"/>
    </w:rPr>
  </w:style>
  <w:style w:type="character" w:customStyle="1" w:styleId="ListLabel142">
    <w:name w:val="ListLabel 142"/>
    <w:qFormat/>
    <w:rPr>
      <w:rFonts w:cs="Arial"/>
      <w:b w:val="0"/>
      <w:i w:val="0"/>
      <w:strike w:val="0"/>
      <w:dstrike w:val="0"/>
      <w:color w:val="00000A"/>
      <w:sz w:val="20"/>
      <w:szCs w:val="20"/>
    </w:rPr>
  </w:style>
  <w:style w:type="character" w:customStyle="1" w:styleId="ListLabel143">
    <w:name w:val="ListLabel 143"/>
    <w:qFormat/>
    <w:rPr>
      <w:rFonts w:cs="Arial"/>
      <w:b w:val="0"/>
      <w:i w:val="0"/>
      <w:color w:val="000000"/>
      <w:sz w:val="24"/>
      <w:szCs w:val="24"/>
    </w:rPr>
  </w:style>
  <w:style w:type="character" w:customStyle="1" w:styleId="ListLabel144">
    <w:name w:val="ListLabel 144"/>
    <w:qFormat/>
    <w:rPr>
      <w:sz w:val="24"/>
      <w:szCs w:val="24"/>
    </w:rPr>
  </w:style>
  <w:style w:type="character" w:customStyle="1" w:styleId="ListLabel145">
    <w:name w:val="ListLabel 145"/>
    <w:qFormat/>
    <w:rPr>
      <w:rFonts w:ascii="Calibri" w:hAnsi="Calibri"/>
      <w:b/>
      <w:sz w:val="24"/>
    </w:rPr>
  </w:style>
  <w:style w:type="character" w:customStyle="1" w:styleId="ListLabel146">
    <w:name w:val="ListLabel 146"/>
    <w:qFormat/>
    <w:rPr>
      <w:rFonts w:ascii="Calibri" w:hAnsi="Calibri"/>
      <w:b/>
      <w:i w:val="0"/>
      <w:strike w:val="0"/>
      <w:dstrike w:val="0"/>
      <w:color w:val="00000A"/>
      <w:sz w:val="24"/>
      <w:szCs w:val="20"/>
      <w:u w:val="none"/>
    </w:rPr>
  </w:style>
  <w:style w:type="character" w:customStyle="1" w:styleId="ListLabel147">
    <w:name w:val="ListLabel 147"/>
    <w:qFormat/>
    <w:rPr>
      <w:rFonts w:ascii="Calibri" w:hAnsi="Calibri" w:cs="Arial"/>
      <w:b w:val="0"/>
      <w:i w:val="0"/>
      <w:strike w:val="0"/>
      <w:dstrike w:val="0"/>
      <w:color w:val="00000A"/>
      <w:sz w:val="24"/>
      <w:szCs w:val="20"/>
    </w:rPr>
  </w:style>
  <w:style w:type="character" w:customStyle="1" w:styleId="ListLabel148">
    <w:name w:val="ListLabel 148"/>
    <w:qFormat/>
    <w:rPr>
      <w:rFonts w:ascii="Calibri" w:hAnsi="Calibri"/>
      <w:b/>
      <w:sz w:val="24"/>
    </w:rPr>
  </w:style>
  <w:style w:type="character" w:customStyle="1" w:styleId="ListLabel149">
    <w:name w:val="ListLabel 149"/>
    <w:qFormat/>
    <w:rPr>
      <w:b w:val="0"/>
      <w:i w:val="0"/>
      <w:strike w:val="0"/>
      <w:dstrike w:val="0"/>
      <w:color w:val="00000A"/>
      <w:sz w:val="20"/>
      <w:szCs w:val="20"/>
      <w:u w:val="none"/>
    </w:rPr>
  </w:style>
  <w:style w:type="character" w:customStyle="1" w:styleId="ListLabel150">
    <w:name w:val="ListLabel 150"/>
    <w:qFormat/>
    <w:rPr>
      <w:rFonts w:cs="Arial"/>
      <w:b w:val="0"/>
      <w:i w:val="0"/>
      <w:strike w:val="0"/>
      <w:dstrike w:val="0"/>
      <w:color w:val="00000A"/>
      <w:sz w:val="20"/>
      <w:szCs w:val="20"/>
    </w:rPr>
  </w:style>
  <w:style w:type="character" w:customStyle="1" w:styleId="ListLabel151">
    <w:name w:val="ListLabel 151"/>
    <w:qFormat/>
    <w:rPr>
      <w:rFonts w:cs="Arial"/>
      <w:b w:val="0"/>
      <w:i w:val="0"/>
      <w:color w:val="000000"/>
      <w:sz w:val="24"/>
      <w:szCs w:val="24"/>
    </w:rPr>
  </w:style>
  <w:style w:type="character" w:customStyle="1" w:styleId="ListLabel152">
    <w:name w:val="ListLabel 152"/>
    <w:qFormat/>
    <w:rPr>
      <w:sz w:val="24"/>
      <w:szCs w:val="24"/>
    </w:rPr>
  </w:style>
  <w:style w:type="character" w:customStyle="1" w:styleId="ListLabel153">
    <w:name w:val="ListLabel 153"/>
    <w:qFormat/>
    <w:rPr>
      <w:rFonts w:ascii="Calibri" w:hAnsi="Calibri"/>
      <w:b/>
      <w:sz w:val="24"/>
    </w:rPr>
  </w:style>
  <w:style w:type="character" w:customStyle="1" w:styleId="ListLabel154">
    <w:name w:val="ListLabel 154"/>
    <w:qFormat/>
    <w:rPr>
      <w:rFonts w:ascii="Calibri" w:hAnsi="Calibri"/>
      <w:b/>
      <w:i w:val="0"/>
      <w:strike w:val="0"/>
      <w:dstrike w:val="0"/>
      <w:color w:val="00000A"/>
      <w:sz w:val="24"/>
      <w:szCs w:val="20"/>
      <w:u w:val="none"/>
    </w:rPr>
  </w:style>
  <w:style w:type="character" w:customStyle="1" w:styleId="ListLabel155">
    <w:name w:val="ListLabel 155"/>
    <w:qFormat/>
    <w:rPr>
      <w:rFonts w:ascii="Calibri" w:hAnsi="Calibri" w:cs="Arial"/>
      <w:b w:val="0"/>
      <w:i w:val="0"/>
      <w:strike w:val="0"/>
      <w:dstrike w:val="0"/>
      <w:color w:val="00000A"/>
      <w:sz w:val="24"/>
      <w:szCs w:val="20"/>
    </w:rPr>
  </w:style>
  <w:style w:type="character" w:customStyle="1" w:styleId="ListLabel156">
    <w:name w:val="ListLabel 156"/>
    <w:qFormat/>
    <w:rPr>
      <w:rFonts w:ascii="Calibri" w:hAnsi="Calibri"/>
      <w:b/>
      <w:sz w:val="24"/>
    </w:rPr>
  </w:style>
  <w:style w:type="character" w:customStyle="1" w:styleId="ListLabel157">
    <w:name w:val="ListLabel 157"/>
    <w:qFormat/>
    <w:rPr>
      <w:b w:val="0"/>
      <w:i w:val="0"/>
      <w:strike w:val="0"/>
      <w:dstrike w:val="0"/>
      <w:color w:val="00000A"/>
      <w:sz w:val="20"/>
      <w:szCs w:val="20"/>
      <w:u w:val="none"/>
    </w:rPr>
  </w:style>
  <w:style w:type="character" w:customStyle="1" w:styleId="ListLabel158">
    <w:name w:val="ListLabel 158"/>
    <w:qFormat/>
    <w:rPr>
      <w:rFonts w:cs="Arial"/>
      <w:b w:val="0"/>
      <w:i w:val="0"/>
      <w:strike w:val="0"/>
      <w:dstrike w:val="0"/>
      <w:color w:val="00000A"/>
      <w:sz w:val="20"/>
      <w:szCs w:val="20"/>
    </w:rPr>
  </w:style>
  <w:style w:type="character" w:customStyle="1" w:styleId="ListLabel159">
    <w:name w:val="ListLabel 159"/>
    <w:qFormat/>
    <w:rPr>
      <w:rFonts w:cs="Arial"/>
      <w:b w:val="0"/>
      <w:i w:val="0"/>
      <w:color w:val="000000"/>
      <w:sz w:val="24"/>
      <w:szCs w:val="24"/>
    </w:rPr>
  </w:style>
  <w:style w:type="character" w:customStyle="1" w:styleId="ListLabel160">
    <w:name w:val="ListLabel 160"/>
    <w:qFormat/>
    <w:rPr>
      <w:sz w:val="24"/>
      <w:szCs w:val="24"/>
    </w:rPr>
  </w:style>
  <w:style w:type="character" w:customStyle="1" w:styleId="ListLabel161">
    <w:name w:val="ListLabel 161"/>
    <w:qFormat/>
    <w:rPr>
      <w:rFonts w:ascii="Calibri" w:hAnsi="Calibri"/>
      <w:b/>
      <w:sz w:val="24"/>
    </w:rPr>
  </w:style>
  <w:style w:type="character" w:customStyle="1" w:styleId="ListLabel162">
    <w:name w:val="ListLabel 162"/>
    <w:qFormat/>
    <w:rPr>
      <w:rFonts w:ascii="Calibri" w:hAnsi="Calibri"/>
      <w:b/>
      <w:i w:val="0"/>
      <w:strike w:val="0"/>
      <w:dstrike w:val="0"/>
      <w:color w:val="00000A"/>
      <w:sz w:val="24"/>
      <w:szCs w:val="20"/>
      <w:u w:val="none"/>
    </w:rPr>
  </w:style>
  <w:style w:type="character" w:customStyle="1" w:styleId="ListLabel163">
    <w:name w:val="ListLabel 163"/>
    <w:qFormat/>
    <w:rPr>
      <w:rFonts w:ascii="Calibri" w:hAnsi="Calibri" w:cs="Arial"/>
      <w:b w:val="0"/>
      <w:i w:val="0"/>
      <w:strike w:val="0"/>
      <w:dstrike w:val="0"/>
      <w:color w:val="00000A"/>
      <w:sz w:val="24"/>
      <w:szCs w:val="20"/>
    </w:rPr>
  </w:style>
  <w:style w:type="character" w:customStyle="1" w:styleId="ListLabel164">
    <w:name w:val="ListLabel 164"/>
    <w:qFormat/>
    <w:rPr>
      <w:rFonts w:ascii="Calibri" w:hAnsi="Calibri"/>
      <w:b/>
      <w:sz w:val="24"/>
    </w:rPr>
  </w:style>
  <w:style w:type="character" w:customStyle="1" w:styleId="ListLabel165">
    <w:name w:val="ListLabel 165"/>
    <w:qFormat/>
    <w:rPr>
      <w:b w:val="0"/>
      <w:i w:val="0"/>
      <w:strike w:val="0"/>
      <w:dstrike w:val="0"/>
      <w:color w:val="00000A"/>
      <w:sz w:val="20"/>
      <w:szCs w:val="20"/>
      <w:u w:val="none"/>
    </w:rPr>
  </w:style>
  <w:style w:type="character" w:customStyle="1" w:styleId="ListLabel166">
    <w:name w:val="ListLabel 166"/>
    <w:qFormat/>
    <w:rPr>
      <w:rFonts w:cs="Arial"/>
      <w:b w:val="0"/>
      <w:i w:val="0"/>
      <w:strike w:val="0"/>
      <w:dstrike w:val="0"/>
      <w:color w:val="00000A"/>
      <w:sz w:val="20"/>
      <w:szCs w:val="20"/>
    </w:rPr>
  </w:style>
  <w:style w:type="character" w:customStyle="1" w:styleId="ListLabel167">
    <w:name w:val="ListLabel 167"/>
    <w:qFormat/>
    <w:rPr>
      <w:rFonts w:cs="Arial"/>
      <w:b w:val="0"/>
      <w:i w:val="0"/>
      <w:color w:val="000000"/>
      <w:sz w:val="24"/>
      <w:szCs w:val="24"/>
    </w:rPr>
  </w:style>
  <w:style w:type="character" w:customStyle="1" w:styleId="ListLabel168">
    <w:name w:val="ListLabel 168"/>
    <w:qFormat/>
    <w:rPr>
      <w:sz w:val="24"/>
      <w:szCs w:val="24"/>
    </w:rPr>
  </w:style>
  <w:style w:type="character" w:customStyle="1" w:styleId="ListLabel169">
    <w:name w:val="ListLabel 169"/>
    <w:qFormat/>
    <w:rPr>
      <w:rFonts w:ascii="Calibri" w:hAnsi="Calibri"/>
      <w:b/>
      <w:sz w:val="24"/>
    </w:rPr>
  </w:style>
  <w:style w:type="character" w:customStyle="1" w:styleId="ListLabel170">
    <w:name w:val="ListLabel 170"/>
    <w:qFormat/>
    <w:rPr>
      <w:rFonts w:ascii="Calibri" w:hAnsi="Calibri"/>
      <w:b/>
      <w:i w:val="0"/>
      <w:strike w:val="0"/>
      <w:dstrike w:val="0"/>
      <w:color w:val="00000A"/>
      <w:sz w:val="24"/>
      <w:szCs w:val="20"/>
      <w:u w:val="none"/>
    </w:rPr>
  </w:style>
  <w:style w:type="character" w:customStyle="1" w:styleId="ListLabel171">
    <w:name w:val="ListLabel 171"/>
    <w:qFormat/>
    <w:rPr>
      <w:rFonts w:ascii="Calibri" w:hAnsi="Calibri" w:cs="Arial"/>
      <w:b w:val="0"/>
      <w:i w:val="0"/>
      <w:strike w:val="0"/>
      <w:dstrike w:val="0"/>
      <w:color w:val="00000A"/>
      <w:sz w:val="24"/>
      <w:szCs w:val="20"/>
    </w:rPr>
  </w:style>
  <w:style w:type="character" w:customStyle="1" w:styleId="ListLabel172">
    <w:name w:val="ListLabel 172"/>
    <w:qFormat/>
    <w:rPr>
      <w:rFonts w:ascii="Calibri" w:hAnsi="Calibri"/>
      <w:b/>
      <w:sz w:val="24"/>
    </w:rPr>
  </w:style>
  <w:style w:type="character" w:customStyle="1" w:styleId="ListLabel173">
    <w:name w:val="ListLabel 173"/>
    <w:qFormat/>
    <w:rPr>
      <w:b w:val="0"/>
      <w:i w:val="0"/>
      <w:strike w:val="0"/>
      <w:dstrike w:val="0"/>
      <w:color w:val="00000A"/>
      <w:sz w:val="20"/>
      <w:szCs w:val="20"/>
      <w:u w:val="none"/>
    </w:rPr>
  </w:style>
  <w:style w:type="character" w:customStyle="1" w:styleId="ListLabel174">
    <w:name w:val="ListLabel 174"/>
    <w:qFormat/>
    <w:rPr>
      <w:rFonts w:cs="Arial"/>
      <w:b w:val="0"/>
      <w:i w:val="0"/>
      <w:strike w:val="0"/>
      <w:dstrike w:val="0"/>
      <w:color w:val="00000A"/>
      <w:sz w:val="20"/>
      <w:szCs w:val="20"/>
    </w:rPr>
  </w:style>
  <w:style w:type="character" w:customStyle="1" w:styleId="ListLabel175">
    <w:name w:val="ListLabel 175"/>
    <w:qFormat/>
    <w:rPr>
      <w:rFonts w:cs="Arial"/>
      <w:b w:val="0"/>
      <w:i w:val="0"/>
      <w:color w:val="000000"/>
      <w:sz w:val="24"/>
      <w:szCs w:val="24"/>
    </w:rPr>
  </w:style>
  <w:style w:type="character" w:customStyle="1" w:styleId="ListLabel176">
    <w:name w:val="ListLabel 176"/>
    <w:qFormat/>
    <w:rPr>
      <w:sz w:val="24"/>
      <w:szCs w:val="24"/>
    </w:rPr>
  </w:style>
  <w:style w:type="character" w:customStyle="1" w:styleId="ListLabel177">
    <w:name w:val="ListLabel 177"/>
    <w:qFormat/>
    <w:rPr>
      <w:rFonts w:ascii="Calibri" w:hAnsi="Calibri"/>
      <w:b/>
      <w:sz w:val="24"/>
    </w:rPr>
  </w:style>
  <w:style w:type="character" w:customStyle="1" w:styleId="ListLabel178">
    <w:name w:val="ListLabel 178"/>
    <w:qFormat/>
    <w:rPr>
      <w:rFonts w:ascii="Calibri" w:hAnsi="Calibri"/>
      <w:b/>
      <w:i w:val="0"/>
      <w:strike w:val="0"/>
      <w:dstrike w:val="0"/>
      <w:color w:val="00000A"/>
      <w:sz w:val="24"/>
      <w:szCs w:val="20"/>
      <w:u w:val="none"/>
    </w:rPr>
  </w:style>
  <w:style w:type="character" w:customStyle="1" w:styleId="ListLabel179">
    <w:name w:val="ListLabel 179"/>
    <w:qFormat/>
    <w:rPr>
      <w:rFonts w:ascii="Calibri" w:hAnsi="Calibri" w:cs="Arial"/>
      <w:b w:val="0"/>
      <w:i w:val="0"/>
      <w:strike w:val="0"/>
      <w:dstrike w:val="0"/>
      <w:color w:val="00000A"/>
      <w:sz w:val="24"/>
      <w:szCs w:val="20"/>
    </w:rPr>
  </w:style>
  <w:style w:type="character" w:customStyle="1" w:styleId="ListLabel180">
    <w:name w:val="ListLabel 180"/>
    <w:qFormat/>
    <w:rPr>
      <w:rFonts w:ascii="Calibri" w:hAnsi="Calibri"/>
      <w:b/>
      <w:sz w:val="24"/>
    </w:rPr>
  </w:style>
  <w:style w:type="character" w:customStyle="1" w:styleId="ListLabel181">
    <w:name w:val="ListLabel 181"/>
    <w:qFormat/>
    <w:rPr>
      <w:b w:val="0"/>
      <w:i w:val="0"/>
      <w:strike w:val="0"/>
      <w:dstrike w:val="0"/>
      <w:color w:val="00000A"/>
      <w:sz w:val="20"/>
      <w:szCs w:val="20"/>
      <w:u w:val="none"/>
    </w:rPr>
  </w:style>
  <w:style w:type="character" w:customStyle="1" w:styleId="ListLabel182">
    <w:name w:val="ListLabel 182"/>
    <w:qFormat/>
    <w:rPr>
      <w:rFonts w:cs="Arial"/>
      <w:b w:val="0"/>
      <w:i w:val="0"/>
      <w:strike w:val="0"/>
      <w:dstrike w:val="0"/>
      <w:color w:val="00000A"/>
      <w:sz w:val="20"/>
      <w:szCs w:val="20"/>
    </w:rPr>
  </w:style>
  <w:style w:type="character" w:customStyle="1" w:styleId="ListLabel183">
    <w:name w:val="ListLabel 183"/>
    <w:qFormat/>
    <w:rPr>
      <w:rFonts w:cs="Arial"/>
      <w:b w:val="0"/>
      <w:i w:val="0"/>
      <w:color w:val="000000"/>
      <w:sz w:val="24"/>
      <w:szCs w:val="24"/>
    </w:rPr>
  </w:style>
  <w:style w:type="character" w:customStyle="1" w:styleId="ListLabel184">
    <w:name w:val="ListLabel 184"/>
    <w:qFormat/>
    <w:rPr>
      <w:sz w:val="24"/>
      <w:szCs w:val="24"/>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00000A"/>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jc w:val="both"/>
    </w:pPr>
    <w:rPr>
      <w:rFonts w:ascii="Arial" w:hAnsi="Arial" w:cs="Arial"/>
      <w:color w:val="000000"/>
      <w:sz w:val="20"/>
      <w:szCs w:val="20"/>
    </w:rPr>
  </w:style>
  <w:style w:type="paragraph" w:customStyle="1" w:styleId="Nivel10">
    <w:name w:val="Nivel 1"/>
    <w:basedOn w:val="Nivel2"/>
    <w:qFormat/>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425"/>
      <w:jc w:val="both"/>
    </w:pPr>
    <w:rPr>
      <w:rFonts w:ascii="Arial" w:hAnsi="Arial" w:cs="Arial"/>
      <w:color w:val="000000"/>
      <w:sz w:val="20"/>
      <w:szCs w:val="20"/>
    </w:rPr>
  </w:style>
  <w:style w:type="paragraph" w:customStyle="1" w:styleId="Nivel4">
    <w:name w:val="Nivel 4"/>
    <w:basedOn w:val="Nivel3"/>
    <w:link w:val="Nivel4Char"/>
    <w:qFormat/>
    <w:rsid w:val="007B1E53"/>
    <w:pPr>
      <w:ind w:left="851"/>
    </w:pPr>
    <w:rPr>
      <w:color w:val="00000A"/>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color w:val="00000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color w:val="00000A"/>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color w:val="00000A"/>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Default">
    <w:name w:val="Default"/>
    <w:qFormat/>
    <w:rsid w:val="00FB65A8"/>
    <w:pPr>
      <w:suppressAutoHyphens/>
      <w:textAlignment w:val="baseline"/>
    </w:pPr>
    <w:rPr>
      <w:rFonts w:ascii="Spranq eco sans" w:eastAsia="Calibri" w:hAnsi="Spranq eco sans" w:cs="Spranq eco sans"/>
      <w:color w:val="000000"/>
      <w:sz w:val="24"/>
      <w:szCs w:val="24"/>
    </w:rPr>
  </w:style>
  <w:style w:type="paragraph" w:customStyle="1" w:styleId="western">
    <w:name w:val="western"/>
    <w:basedOn w:val="Standard"/>
    <w:qFormat/>
    <w:rsid w:val="00FB65A8"/>
    <w:pPr>
      <w:spacing w:before="280" w:after="119"/>
      <w:jc w:val="center"/>
      <w:textAlignment w:val="center"/>
    </w:pPr>
    <w:rPr>
      <w:rFonts w:ascii="Times New Roman" w:eastAsia="Times New Roman" w:hAnsi="Times New Roman" w:cs="Times New Roman"/>
      <w:lang w:eastAsia="pt-BR" w:bidi="ar-SA"/>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706D3"/>
    <w:rPr>
      <w:color w:val="000080"/>
      <w:u w:val="single"/>
    </w:rPr>
  </w:style>
  <w:style w:type="character" w:customStyle="1" w:styleId="findhit">
    <w:name w:val="findhit"/>
    <w:basedOn w:val="Fontepargpadro"/>
    <w:rsid w:val="005C208F"/>
  </w:style>
  <w:style w:type="paragraph" w:customStyle="1" w:styleId="Nvel1-SemNumPreto">
    <w:name w:val="Nível 1-Sem Num Preto"/>
    <w:basedOn w:val="Nvel1-SemNum"/>
    <w:link w:val="Nvel1-SemNumPretoChar"/>
    <w:qFormat/>
    <w:rsid w:val="005C208F"/>
    <w:pPr>
      <w:spacing w:after="120" w:line="276" w:lineRule="auto"/>
      <w:ind w:left="0"/>
    </w:pPr>
    <w:rPr>
      <w:spacing w:val="5"/>
      <w:sz w:val="52"/>
      <w:szCs w:val="52"/>
      <w:lang w:eastAsia="zh-CN" w:bidi="hi-IN"/>
    </w:rPr>
  </w:style>
  <w:style w:type="character" w:customStyle="1" w:styleId="Nvel1-SemNumPretoChar">
    <w:name w:val="Nível 1-Sem Num Preto Char"/>
    <w:basedOn w:val="Nvel1-SemNumChar"/>
    <w:link w:val="Nvel1-SemNumPreto"/>
    <w:rsid w:val="005C208F"/>
    <w:rPr>
      <w:rFonts w:ascii="Arial" w:eastAsiaTheme="majorEastAsia" w:hAnsi="Arial" w:cs="Arial"/>
      <w:b/>
      <w:bCs/>
      <w:color w:val="FF0000"/>
      <w:spacing w:val="5"/>
      <w:sz w:val="52"/>
      <w:szCs w:val="52"/>
      <w:lang w:eastAsia="zh-CN" w:bidi="hi-IN"/>
    </w:rPr>
  </w:style>
  <w:style w:type="paragraph" w:customStyle="1" w:styleId="Normal10">
    <w:name w:val="Normal1"/>
    <w:rsid w:val="00B039C7"/>
    <w:pPr>
      <w:widowControl w:val="0"/>
      <w:suppressAutoHyphens/>
      <w:textAlignment w:val="baseline"/>
    </w:pPr>
    <w:rPr>
      <w:rFonts w:ascii="Liberation Serif" w:eastAsia="SimSun" w:hAnsi="Liberation Serif" w:cs="Mang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069442">
      <w:bodyDiv w:val="1"/>
      <w:marLeft w:val="0"/>
      <w:marRight w:val="0"/>
      <w:marTop w:val="0"/>
      <w:marBottom w:val="0"/>
      <w:divBdr>
        <w:top w:val="none" w:sz="0" w:space="0" w:color="auto"/>
        <w:left w:val="none" w:sz="0" w:space="0" w:color="auto"/>
        <w:bottom w:val="none" w:sz="0" w:space="0" w:color="auto"/>
        <w:right w:val="none" w:sz="0" w:space="0" w:color="auto"/>
      </w:divBdr>
    </w:div>
    <w:div w:id="574170189">
      <w:bodyDiv w:val="1"/>
      <w:marLeft w:val="0"/>
      <w:marRight w:val="0"/>
      <w:marTop w:val="0"/>
      <w:marBottom w:val="0"/>
      <w:divBdr>
        <w:top w:val="none" w:sz="0" w:space="0" w:color="auto"/>
        <w:left w:val="none" w:sz="0" w:space="0" w:color="auto"/>
        <w:bottom w:val="none" w:sz="0" w:space="0" w:color="auto"/>
        <w:right w:val="none" w:sz="0" w:space="0" w:color="auto"/>
      </w:divBdr>
    </w:div>
    <w:div w:id="698629633">
      <w:bodyDiv w:val="1"/>
      <w:marLeft w:val="0"/>
      <w:marRight w:val="0"/>
      <w:marTop w:val="0"/>
      <w:marBottom w:val="0"/>
      <w:divBdr>
        <w:top w:val="none" w:sz="0" w:space="0" w:color="auto"/>
        <w:left w:val="none" w:sz="0" w:space="0" w:color="auto"/>
        <w:bottom w:val="none" w:sz="0" w:space="0" w:color="auto"/>
        <w:right w:val="none" w:sz="0" w:space="0" w:color="auto"/>
      </w:divBdr>
    </w:div>
    <w:div w:id="1184398248">
      <w:bodyDiv w:val="1"/>
      <w:marLeft w:val="0"/>
      <w:marRight w:val="0"/>
      <w:marTop w:val="0"/>
      <w:marBottom w:val="0"/>
      <w:divBdr>
        <w:top w:val="none" w:sz="0" w:space="0" w:color="auto"/>
        <w:left w:val="none" w:sz="0" w:space="0" w:color="auto"/>
        <w:bottom w:val="none" w:sz="0" w:space="0" w:color="auto"/>
        <w:right w:val="none" w:sz="0" w:space="0" w:color="auto"/>
      </w:divBdr>
    </w:div>
    <w:div w:id="1531260459">
      <w:bodyDiv w:val="1"/>
      <w:marLeft w:val="0"/>
      <w:marRight w:val="0"/>
      <w:marTop w:val="0"/>
      <w:marBottom w:val="0"/>
      <w:divBdr>
        <w:top w:val="none" w:sz="0" w:space="0" w:color="auto"/>
        <w:left w:val="none" w:sz="0" w:space="0" w:color="auto"/>
        <w:bottom w:val="none" w:sz="0" w:space="0" w:color="auto"/>
        <w:right w:val="none" w:sz="0" w:space="0" w:color="auto"/>
      </w:divBdr>
    </w:div>
    <w:div w:id="1642417744">
      <w:bodyDiv w:val="1"/>
      <w:marLeft w:val="0"/>
      <w:marRight w:val="0"/>
      <w:marTop w:val="0"/>
      <w:marBottom w:val="0"/>
      <w:divBdr>
        <w:top w:val="none" w:sz="0" w:space="0" w:color="auto"/>
        <w:left w:val="none" w:sz="0" w:space="0" w:color="auto"/>
        <w:bottom w:val="none" w:sz="0" w:space="0" w:color="auto"/>
        <w:right w:val="none" w:sz="0" w:space="0" w:color="auto"/>
      </w:divBdr>
    </w:div>
    <w:div w:id="1759641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3" Type="http://schemas.openxmlformats.org/officeDocument/2006/relationships/hyperlink" Target="https://www.planalto.gov.br/ccivil_03/constituicao/constituicao.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gov.br/compras/pt-br/acesso-a-informacao/legislacao/instrucoes-normativas/instrucao-normativa-no-53-de-8-de-julho-de-2020" TargetMode="External"/><Relationship Id="rId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s://www.gov.br/compras/pt-br/acesso-a-informacao/legislacao/instrucoes-normativas/instrucao-normativa-no-53-de-8-de-julho-de-2020"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in.gov.br/en/web/dou/-/instrucao-normativa-seges/me-n-77-de-4-de-novembro-de-2022-441681061" TargetMode="External"/><Relationship Id="rId42" Type="http://schemas.openxmlformats.org/officeDocument/2006/relationships/hyperlink" Target="https://www.gov.br/empresas-e-negocios/pt-br/empreendedor" TargetMode="External"/><Relationship Id="rId47" Type="http://schemas.openxmlformats.org/officeDocument/2006/relationships/hyperlink" Target="https://www.gov.br/compras/pt-br/acesso-a-informacao/legislacao/instrucoes-normativas/instrucao-normativa-seges-me-no-116-de-21-de-dezembro-de-2021" TargetMode="External"/><Relationship Id="rId50"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endnotes" Target="endnotes.xm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in.gov.br/en/web/dou/-/instrucao-normativa-seges/me-n-77-de-4-de-novembro-de-2022-441681061"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planalto.gov.br/ccivil_03/_ato2019-2022/2021/decreto/d10880.htm" TargetMode="External"/><Relationship Id="rId5" Type="http://schemas.openxmlformats.org/officeDocument/2006/relationships/customXml" Target="../customXml/item5.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planalto.gov.br/ccivil_03/leis/l5764.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economia/pt-br/assuntos/drei/legislacao/arquivos/legislacoes-federais/indrei772020.pdf" TargetMode="External"/><Relationship Id="rId48"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caixa.gov.br/Downloads/sinapi-a-partir-jul-2009-am/SINAPI_ref_Insumos_Composicoes_AM_202410_NaoDesonerado.zi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gov.br/trabalho-e-previdencia/pt-br/servicos/empregador/programa-de-alimentacao-do-trabalhador-pat/arquivos-legislacao/instrucoes-normativas/pat_in_971_2009.pdf" TargetMode="Externa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www.planalto.gov.br/ccivil_03/AGU/Pareceres/2019-2022/PRC-JL-01-2020.htm"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2.xml><?xml version="1.0" encoding="utf-8"?>
<ds:datastoreItem xmlns:ds="http://schemas.openxmlformats.org/officeDocument/2006/customXml" ds:itemID="{DA862052-D844-467A-AC8D-623B16AA7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5.xml><?xml version="1.0" encoding="utf-8"?>
<ds:datastoreItem xmlns:ds="http://schemas.openxmlformats.org/officeDocument/2006/customXml" ds:itemID="{CC65C425-8BBF-4526-8E72-061D889A8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13</Pages>
  <Words>5654</Words>
  <Characters>30536</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36118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dc:description/>
  <cp:lastModifiedBy>Jose Melo Filho</cp:lastModifiedBy>
  <cp:revision>157</cp:revision>
  <cp:lastPrinted>2024-10-07T18:47:00Z</cp:lastPrinted>
  <dcterms:created xsi:type="dcterms:W3CDTF">2022-12-20T22:49:00Z</dcterms:created>
  <dcterms:modified xsi:type="dcterms:W3CDTF">2024-12-05T11:46:00Z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AGU</vt:lpwstr>
  </property>
  <property fmtid="{D5CDD505-2E9C-101B-9397-08002B2CF9AE}" pid="4" name="ContentTypeId">
    <vt:lpwstr>0x01010046D1D902F9AFB0458A156704A0C1878F</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MediaServiceImageTags">
    <vt:lpwstr/>
  </property>
  <property fmtid="{D5CDD505-2E9C-101B-9397-08002B2CF9AE}" pid="9" name="ScaleCrop">
    <vt:bool>false</vt:bool>
  </property>
  <property fmtid="{D5CDD505-2E9C-101B-9397-08002B2CF9AE}" pid="10" name="ShareDoc">
    <vt:bool>false</vt:bool>
  </property>
</Properties>
</file>